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10" w:line="276" w:lineRule="auto"/>
      </w:pPr>
      <w:r>
        <w:t xml:space="preserve">한의사 국시 LLM 벤치마크 — 실험 결과 전체</w:t>
      </w:r>
    </w:p>
    <w:p>
      <w:pPr>
        <w:spacing w:after="60" w:line="276" w:lineRule="auto"/>
      </w:pPr>
      <w:r>
        <w:rPr>
          <w:i/>
          <w:sz w:val="20"/>
          <w:szCs w:val="20"/>
          <w:color w:val="555555"/>
        </w:rPr>
        <w:t xml:space="preserve">2022–2025 · 1,138문항 · 12과목 · 9개 오픈 모델 · stage 5 (한자병기+영어번역+CoT+SC3)</w:t>
      </w:r>
    </w:p>
    <w:p>
      <w:pPr>
        <w:spacing w:after="240" w:line="276" w:lineRule="auto"/>
      </w:pPr>
      <w:r>
        <w:rPr>
          <w:i/>
          <w:sz w:val="18"/>
          <w:szCs w:val="18"/>
          <w:color w:val="8A6D3B"/>
        </w:rPr>
        <w:t xml:space="preserve">작성 시점의 확정 수치만 수록. 진행 중인 항목은 [진행중]으로 표시.</w:t>
      </w:r>
    </w:p>
    <w:p>
      <w:pPr>
        <w:pStyle w:val="Heading1"/>
        <w:spacing w:after="110" w:line="276" w:lineRule="auto"/>
      </w:pPr>
      <w:r>
        <w:t xml:space="preserve">4.2 지식 자원</w:t>
      </w:r>
    </w:p>
    <w:p>
      <w:pPr>
        <w:spacing w:after="110" w:line="276" w:lineRule="auto"/>
      </w:pPr>
      <w:r>
        <w:t xml:space="preserve">표 1. 지식그래프 규모 (정본 graphrag/ 기준, CLAUDE.md §3 검증값과 일치)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600"/>
        <w:gridCol w:w="2600"/>
        <w:gridCol w:w="2000"/>
      </w:tblGrid>
      <w:tr>
        <w:trPr>
          <w:tblHeader/>
        </w:trPr>
        <w:tc>
          <w:tcPr>
            <w:tcW w:w="26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구분</w:t>
            </w:r>
          </w:p>
        </w:tc>
        <w:tc>
          <w:tcPr>
            <w:tcW w:w="26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유형</w:t>
            </w:r>
          </w:p>
        </w:tc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개수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노드 (계 7,692)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처방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3,094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증상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3,873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약재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645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증상지표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54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장부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변증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계통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엣지 (계 39,996)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구성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25,565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주치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8,858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계통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3,094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팔강귀속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1,447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귀경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972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지표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54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포함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bigse0u1 브랜치 사본은 7,716노드/40,159엣지(처방 +24)로 드리프트되어 있어 사용하지 않음.</w:t>
      </w:r>
    </w:p>
    <w:p>
      <w:pPr>
        <w:spacing w:after="110" w:line="276" w:lineRule="auto"/>
      </w:pPr>
      <w:r>
        <w:t xml:space="preserve">표 2. 그래프 품질 검증 (§4.2.3)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3600"/>
        <w:gridCol w:w="2600"/>
        <w:gridCol w:w="1600"/>
      </w:tblGrid>
      <w:tr>
        <w:trPr>
          <w:tblHeader/>
        </w:trPr>
        <w:tc>
          <w:tcPr>
            <w:tcW w:w="36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검사 항목</w:t>
            </w:r>
          </w:p>
        </w:tc>
        <w:tc>
          <w:tcPr>
            <w:tcW w:w="26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결과</w:t>
            </w:r>
          </w:p>
        </w:tc>
        <w:tc>
          <w:tcPr>
            <w:tcW w:w="16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비율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고아 엣지 (미존재 노드 참조)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0.000%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자기루프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0.000%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중복 엣지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0.000%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유형 규칙 위반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0.135%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구조 오류 합계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54 / 39,996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0.135%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동명 분열 (같은 이름·다른 id)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666개 이름 / 2,101 노드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27.3%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유형 위반 54건은 모두 '지표' 엣지가 증상지표가 아닌 변증을 가리키는 단일 패턴. 설계상 정상이면 구조 오류율은 0%. 동명 분열은 처방 562개 이름이 최다(소청룡탕 24개 id).</w:t>
      </w:r>
    </w:p>
    <w:p>
      <w:pPr>
        <w:spacing w:after="110" w:line="276" w:lineRule="auto"/>
      </w:pPr>
      <w:r>
        <w:t xml:space="preserve">표 3. 누수 통제 — 근거가 정답 보기를 노출하는가 (§4.2.4)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1400"/>
        <w:gridCol w:w="2000"/>
        <w:gridCol w:w="1900"/>
        <w:gridCol w:w="2000"/>
        <w:gridCol w:w="1900"/>
      </w:tblGrid>
      <w:tr>
        <w:trPr>
          <w:tblHeader/>
        </w:trPr>
        <w:tc>
          <w:tcPr>
            <w:tcW w:w="14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연도</w:t>
            </w:r>
          </w:p>
        </w:tc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정답보기 평균</w:t>
            </w:r>
          </w:p>
        </w:tc>
        <w:tc>
          <w:tcPr>
            <w:tcW w:w="19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정답 완전포함</w:t>
            </w:r>
          </w:p>
        </w:tc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오답보기 평균</w:t>
            </w:r>
          </w:p>
        </w:tc>
        <w:tc>
          <w:tcPr>
            <w:tcW w:w="19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오답 완전포함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2022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0.148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12 / 294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0.142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40 / 882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2023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0.208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23 / 280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0.163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45 / 840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2024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0.181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17 / 288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0.163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 / 864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2025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0.164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7 / 276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0.159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39 / 1,104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평균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0.175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59 / 1,138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0.157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171 / 3,690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정답과 오답의 containment 차이가 +0.019에 불과 → 검색 근거가 정답을 직접 노출하지 않음.</w:t>
      </w:r>
    </w:p>
    <w:p>
      <w:pPr>
        <w:pStyle w:val="Heading1"/>
        <w:spacing w:after="110" w:line="276" w:lineRule="auto"/>
      </w:pPr>
      <w:r>
        <w:t xml:space="preserve">5.1 실행 간 분산 (Run-to-Run Variance)</w:t>
      </w:r>
    </w:p>
    <w:p>
      <w:pPr>
        <w:spacing w:after="110" w:line="276" w:lineRule="auto"/>
      </w:pPr>
      <w:r>
        <w:t xml:space="preserve">표 4. 동일 조건 두 실행의 차이 — 노이즈 바닥 측정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100"/>
        <w:gridCol w:w="1300"/>
        <w:gridCol w:w="1300"/>
        <w:gridCol w:w="1100"/>
        <w:gridCol w:w="2100"/>
        <w:gridCol w:w="1300"/>
        <w:gridCol w:w="1400"/>
      </w:tblGrid>
      <w:tr>
        <w:trPr>
          <w:tblHeader/>
        </w:trPr>
        <w:tc>
          <w:tcPr>
            <w:tcW w:w="21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모델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run A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run B</w:t>
            </w:r>
          </w:p>
        </w:tc>
        <w:tc>
          <w:tcPr>
            <w:tcW w:w="11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|Δ|</w:t>
            </w:r>
          </w:p>
        </w:tc>
        <w:tc>
          <w:tcPr>
            <w:tcW w:w="21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예측 불일치 문항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불일치율</w:t>
            </w:r>
          </w:p>
        </w:tc>
        <w:tc>
          <w:tcPr>
            <w:tcW w:w="14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McNemar p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Qwen2.5-7B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49.38%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49.38%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0.00p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359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31.5%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1.000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HuatuoGPT-o1-7B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48.33%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49.30%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0.97p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358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31.5%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0.497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EXAONE-3.5-7.8B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47.28%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47.80%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0.53p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388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34.1%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0.729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MedGemma-4B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42.09%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41.21%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0.88p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398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35.0%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0.548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SOLAR-10.7B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38.66%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38.93%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0.26p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446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39.2%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0.895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Mistral-7B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30.67%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30.84%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0.18p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543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47.7%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0.950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OpenBioLLM-8B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27.07%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25.57%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1.49p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503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44.2%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0.293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BioMistral-7B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21.09%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19.51%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1.58p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693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60.9%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0.303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MedLLaMA2-7B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19.42%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19.42%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0.00p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540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47.5%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1.000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평균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0.65p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4,228 / 10,242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41.3%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전부 n.s.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run A = 팀 baseline(ktm_results), run B = 동일 스택 재생성(ktm_results_plain_v2). 조건이 동일하므로 차이는 표집 분산(SC, temperature&gt;0)에서만 발생. 노이즈 바닥 평균 0.65%p (최대 1.58%p), 9모델 전부 유의하지 않음(p ≥ 0.29). → 제안 게이트의 +1.03%p (p=0.0009)는 이 바닥을 상회한다. 문항 단위로는 41.3%가 뒤바뀌므로 개별 사례 해석은 주의가 필요.</w:t>
      </w:r>
    </w:p>
    <w:p>
      <w:pPr>
        <w:pStyle w:val="Heading1"/>
        <w:spacing w:after="110" w:line="276" w:lineRule="auto"/>
      </w:pPr>
      <w:r>
        <w:t xml:space="preserve">5.2 베이스라인과 측정 오차</w:t>
      </w:r>
    </w:p>
    <w:p>
      <w:pPr>
        <w:spacing w:after="110" w:line="276" w:lineRule="auto"/>
      </w:pPr>
      <w:r>
        <w:t xml:space="preserve">표 5. 파싱 실패율과 chance 보정 (§6.5 — raw / 응답분 / 보정 3종 보고)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400"/>
        <w:gridCol w:w="1500"/>
        <w:gridCol w:w="1500"/>
        <w:gridCol w:w="1500"/>
        <w:gridCol w:w="1700"/>
      </w:tblGrid>
      <w:tr>
        <w:trPr>
          <w:tblHeader/>
        </w:trPr>
        <w:tc>
          <w:tcPr>
            <w:tcW w:w="24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모델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raw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무응답%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응답분</w:t>
            </w:r>
          </w:p>
        </w:tc>
        <w:tc>
          <w:tcPr>
            <w:tcW w:w="17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chance 보정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Qwen2.5-7B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49.38%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49.38%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33.59%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HuatuoGPT-o1-7B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48.33%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0.18%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48.42%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32.20%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EXAONE-3.5-7.8B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47.28%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47.28%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30.82%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MedGemma-4B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42.09%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42.09%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24.02%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SOLAR-10.7B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38.66%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0.70%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38.94%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19.52%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Mistral-7B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30.67%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2.81%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31.56%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9.03%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OpenBioLLM-8B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27.07%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5.89%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28.76%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4.30%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BioMistral-7B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21.09%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8.17%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22.97%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−3.54%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MedLLaMA2-7B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19.42%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18.28%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23.76%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−5.73%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CLAUDE.md §3 검증표와 소수점까지 일치. BioMistral·MedLLaMA2는 보정 후 음수 = 무작위 이하.</w:t>
      </w:r>
    </w:p>
    <w:p>
      <w:pPr>
        <w:spacing w:after="110" w:line="276" w:lineRule="auto"/>
      </w:pPr>
      <w:r>
        <w:t xml:space="preserve">표 6. 2025년 형식 효과 — 4지(862문항) vs 5지(276문항) (§4.1)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100"/>
        <w:gridCol w:w="1300"/>
        <w:gridCol w:w="1300"/>
        <w:gridCol w:w="1200"/>
        <w:gridCol w:w="1300"/>
        <w:gridCol w:w="1300"/>
        <w:gridCol w:w="1300"/>
      </w:tblGrid>
      <w:tr>
        <w:trPr>
          <w:tblHeader/>
        </w:trPr>
        <w:tc>
          <w:tcPr>
            <w:tcW w:w="21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모델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4지 raw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5지 raw</w:t>
            </w:r>
          </w:p>
        </w:tc>
        <w:tc>
          <w:tcPr>
            <w:tcW w:w="12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차이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4지 보정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5지 보정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보정 차이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Qwen2.5-7B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50.12%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47.10%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−3.01p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33.49%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33.88%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+0.39p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HuatuoGPT-o1-7B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49.07%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46.01%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−3.06p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32.10%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32.52%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+0.42p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EXAONE-3.5-7.8B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49.30%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40.94%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−8.36p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32.41%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26.18%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−6.23p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MedGemma-4B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43.74%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36.96%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−6.78p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24.98%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21.20%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−3.79p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SOLAR-10.7B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40.60%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32.61%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−7.99p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20.80%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15.76%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−5.04p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Mistral-7B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31.79%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27.17%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−4.61p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9.05%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8.97%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−0.08p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OpenBioLLM-8B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26.91%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27.54%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+0.62p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2.55%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9.42%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+6.87p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BioMistral-7B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20.77%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22.10%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+1.34p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−5.65%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2.63%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+8.27p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MedLLaMA2-7B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21.23%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13.77%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−7.46p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−5.03%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−7.79%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−2.76p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원시값은 최대 −8.4%p 하락하지만 무작위 기준선(25%→20%) 보정 후 상위 모델은 오히려 상승. 2025 하락은 난이도가 아니라 보기 수 형식 효과.</w:t>
      </w:r>
    </w:p>
    <w:p>
      <w:pPr>
        <w:pStyle w:val="Heading1"/>
        <w:spacing w:after="110" w:line="276" w:lineRule="auto"/>
      </w:pPr>
      <w:r>
        <w:t xml:space="preserve">5.3 검색 증강의 양날 효과</w:t>
      </w:r>
    </w:p>
    <w:p>
      <w:pPr>
        <w:spacing w:after="110" w:line="276" w:lineRule="auto"/>
      </w:pPr>
      <w:r>
        <w:t xml:space="preserve">표 7. 상관 분석 (9모델, Pearson)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3400"/>
        <w:gridCol w:w="1300"/>
        <w:gridCol w:w="1300"/>
        <w:gridCol w:w="3000"/>
      </w:tblGrid>
      <w:tr>
        <w:trPr>
          <w:tblHeader/>
        </w:trPr>
        <w:tc>
          <w:tcPr>
            <w:tcW w:w="34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관계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r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p</w:t>
            </w:r>
          </w:p>
        </w:tc>
        <w:tc>
          <w:tcPr>
            <w:tcW w:w="3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출처 대조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검색 증강 델타 vs 기저 정확도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−0.744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0.0215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CLAUDE.md §3 (−0.744, 0.022) 일치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파싱 실패율 vs 기저 정확도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−0.848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0.0039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본 연구 신규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SC 델타 vs 파싱 실패율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[진행중]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[진행중]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stage 4 필요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기저 정확도가 낮은 모델일수록 검색 증강 이득이 크다(MedLLaMA2 +9.23p, EXAONE −3.87p).</w:t>
      </w:r>
    </w:p>
    <w:p>
      <w:pPr>
        <w:pStyle w:val="Heading1"/>
        <w:spacing w:after="110" w:line="276" w:lineRule="auto"/>
      </w:pPr>
      <w:r>
        <w:t xml:space="preserve">5.5 그래프 커버리지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1600"/>
        <w:gridCol w:w="1600"/>
        <w:gridCol w:w="2400"/>
        <w:gridCol w:w="1600"/>
      </w:tblGrid>
      <w:tr>
        <w:trPr>
          <w:tblHeader/>
        </w:trPr>
        <w:tc>
          <w:tcPr>
            <w:tcW w:w="16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연도</w:t>
            </w:r>
          </w:p>
        </w:tc>
        <w:tc>
          <w:tcPr>
            <w:tcW w:w="16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문항</w:t>
            </w:r>
          </w:p>
        </w:tc>
        <w:tc>
          <w:tcPr>
            <w:tcW w:w="24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그래프 근거 보유</w:t>
            </w:r>
          </w:p>
        </w:tc>
        <w:tc>
          <w:tcPr>
            <w:tcW w:w="16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비율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2022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294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225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76.5%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2023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280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217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77.5%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2024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288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204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70.8%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2025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276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215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77.9%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합계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1,138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861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75.7%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평균 시드 2.24개. seed 0(그래프 근거 없음) 문항 = 24.3%. 벡터 근거는 전 문항 존재.</w:t>
      </w:r>
    </w:p>
    <w:p>
      <w:pPr>
        <w:pStyle w:val="Heading1"/>
        <w:spacing w:after="110" w:line="276" w:lineRule="auto"/>
      </w:pPr>
      <w:r>
        <w:t xml:space="preserve">5.6 선택적 게이팅의 효과</w:t>
      </w:r>
    </w:p>
    <w:p>
      <w:pPr>
        <w:spacing w:after="110" w:line="276" w:lineRule="auto"/>
      </w:pPr>
      <w:r>
        <w:t xml:space="preserve">표 8. 후보집합 확장에 따른 성능 (LOYO held-out, 9모델 평균)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1700"/>
        <w:gridCol w:w="2900"/>
        <w:gridCol w:w="1500"/>
        <w:gridCol w:w="1500"/>
        <w:gridCol w:w="1600"/>
      </w:tblGrid>
      <w:tr>
        <w:trPr>
          <w:tblHeader/>
        </w:trPr>
        <w:tc>
          <w:tcPr>
            <w:tcW w:w="17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설정</w:t>
            </w:r>
          </w:p>
        </w:tc>
        <w:tc>
          <w:tcPr>
            <w:tcW w:w="29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후보 집합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정확도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vs plain</w:t>
            </w:r>
          </w:p>
        </w:tc>
        <w:tc>
          <w:tcPr>
            <w:tcW w:w="16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vs 무게이트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plain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36.00%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−2.77p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무게이트 RAG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always-inject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38.77%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+2.77p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T1 (기존)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plain, gate(T,C)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36.51%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+0.51p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−2.26p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T2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 always-inject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39.50%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+3.50p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+0.73p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T3 (제안)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 GraphRAG 계열, δ=0.005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39.80%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+3.80p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+1.03p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게이트 vs 무게이트 직접 검정: +1.03%p, McNemar p = 0.0009, 부트스트랩 95% CI [+0.42, +1.62]. 불일치쌍 989개 중 게이트만 정답 547 / 무게이트만 정답 442.</w:t>
      </w:r>
    </w:p>
    <w:p>
      <w:pPr>
        <w:spacing w:after="110" w:line="276" w:lineRule="auto"/>
      </w:pPr>
      <w:r>
        <w:t xml:space="preserve">표 9. 모델별 게이트 성능 (T3, δ=0.005)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1900"/>
        <w:gridCol w:w="1100"/>
        <w:gridCol w:w="1200"/>
        <w:gridCol w:w="1300"/>
        <w:gridCol w:w="1300"/>
        <w:gridCol w:w="1300"/>
        <w:gridCol w:w="1700"/>
        <w:gridCol w:w="1200"/>
      </w:tblGrid>
      <w:tr>
        <w:trPr>
          <w:tblHeader/>
        </w:trPr>
        <w:tc>
          <w:tcPr>
            <w:tcW w:w="19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모델</w:t>
            </w:r>
          </w:p>
        </w:tc>
        <w:tc>
          <w:tcPr>
            <w:tcW w:w="11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plain</w:t>
            </w:r>
          </w:p>
        </w:tc>
        <w:tc>
          <w:tcPr>
            <w:tcW w:w="12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무게이트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T3 게이트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Δ vs plain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McNemar p</w:t>
            </w:r>
          </w:p>
        </w:tc>
        <w:tc>
          <w:tcPr>
            <w:tcW w:w="17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95% CI</w:t>
            </w:r>
          </w:p>
        </w:tc>
        <w:tc>
          <w:tcPr>
            <w:tcW w:w="12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Holm 보정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Qwen2.5-7B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49.4%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48.6%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50.5%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+1.14p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0.198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[−0.44, +2.72]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비유의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HuatuoGPT-o1-7B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48.3%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50.9%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49.3%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+0.97p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0.548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[−1.93, +3.95]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비유의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EXAONE-3.5-7.8B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47.3%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43.4%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48.9%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+1.67p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0.0066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[+0.53, +2.90]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유의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MedGemma-4B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42.1%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40.2%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43.6%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+1.49p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0.089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[−0.18, +3.25]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비유의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SOLAR-10.7B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38.7%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42.5%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42.5%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+3.87p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0.034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[+0.44, +7.29]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비유의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Mistral-7B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30.7%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38.8%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38.8%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+8.17p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&lt;0.0001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[+4.92, +11.51]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유의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OpenBioLLM-8B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27.1%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31.6%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31.6%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+4.57p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0.013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[+0.79, +8.00]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비유의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BioMistral-7B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21.1%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24.2%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24.2%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+3.08p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0.093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[−0.44, +6.41]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비유의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MedLLaMA2-7B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19.4%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28.6%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28.6%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+9.23p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&lt;0.0001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[+5.89, +12.30]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유의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평균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36.00%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38.77%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39.80%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+3.80p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3/9 유의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Holm 보정 후 9모델 중 3개 유의. 풀링 검정(게이트 vs 무게이트)은 단일 검정이라 보정 대상 아님(p=0.0009).</w:t>
      </w:r>
    </w:p>
    <w:p>
      <w:pPr>
        <w:pStyle w:val="Heading1"/>
        <w:spacing w:after="110" w:line="276" w:lineRule="auto"/>
      </w:pPr>
      <w:r>
        <w:t xml:space="preserve">5.7 절제 실험</w:t>
      </w:r>
    </w:p>
    <w:p>
      <w:pPr>
        <w:spacing w:after="110" w:line="276" w:lineRule="auto"/>
      </w:pPr>
      <w:r>
        <w:t xml:space="preserve">표 10. 신호 정교화 vs 후보 확장 — 논문 핵심 주장의 근거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300"/>
        <w:gridCol w:w="1900"/>
        <w:gridCol w:w="1300"/>
        <w:gridCol w:w="1500"/>
        <w:gridCol w:w="1500"/>
      </w:tblGrid>
      <w:tr>
        <w:trPr>
          <w:tblHeader/>
        </w:trPr>
        <w:tc>
          <w:tcPr>
            <w:tcW w:w="23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설정</w:t>
            </w:r>
          </w:p>
        </w:tc>
        <w:tc>
          <w:tcPr>
            <w:tcW w:w="19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게이팅 신호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후보 수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정확도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vs plain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plain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36.00%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신호 T만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관련도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36.45%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+0.45p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신호 C만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자기일치도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36.72%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+0.72p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T×C [T1]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관련도 × SC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36.74%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+0.74p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T×C + always [T2]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관련도 × SC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65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39.45%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+3.45p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T×C + graph [T3]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관련도 × SC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129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39.80%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+3.80p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T만 + always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관련도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39.19%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+3.19p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신호 정교화(T만→T×C, 후보 고정) +0.29p vs 후보 확장(후보 1개 추가) +2.70p — 약 9배 차이. 신호를 가장 단순히 두고 후보만 넓혀도 전체 이득의 84%를 회수.</w:t>
      </w:r>
    </w:p>
    <w:p>
      <w:pPr>
        <w:spacing w:after="110" w:line="276" w:lineRule="auto"/>
      </w:pPr>
      <w:r>
        <w:t xml:space="preserve">표 11. 선행연구 대리 비교 — 생성 전 결정 vs 생성 후 선택 (§7.2)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3300"/>
        <w:gridCol w:w="1200"/>
        <w:gridCol w:w="2100"/>
        <w:gridCol w:w="2100"/>
        <w:gridCol w:w="1300"/>
      </w:tblGrid>
      <w:tr>
        <w:trPr>
          <w:tblHeader/>
        </w:trPr>
        <w:tc>
          <w:tcPr>
            <w:tcW w:w="33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모델</w:t>
            </w:r>
          </w:p>
        </w:tc>
        <w:tc>
          <w:tcPr>
            <w:tcW w:w="12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plain</w:t>
            </w:r>
          </w:p>
        </w:tc>
        <w:tc>
          <w:tcPr>
            <w:tcW w:w="21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생성 전 게이트 (관련도만)</w:t>
            </w:r>
          </w:p>
        </w:tc>
        <w:tc>
          <w:tcPr>
            <w:tcW w:w="21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생성 후 선택 (관련도×SC)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차이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Qwen2.5-7B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49.4%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49.4%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50.5%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+1.14p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EXAONE-3.5-7.8B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47.3%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47.0%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48.9%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+1.93p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MedGemma-4B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42.1%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42.0%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43.6%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+1.58p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HuatuoGPT-o1-7B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48.3%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49.2%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49.3%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+0.09p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SOLAR·Mistral·OpenBio·BioMistral·MedLLaMA2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동일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동일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+0.00p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평균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36.00%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39.27%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39.80%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+0.53p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SC 결합의 이득은 기저 정확도가 높은 4개 모델에 국한. 하위 5개는 always-inject를 선택해 차이 없음.</w:t>
      </w:r>
    </w:p>
    <w:p>
      <w:pPr>
        <w:pStyle w:val="Heading1"/>
        <w:spacing w:after="110" w:line="276" w:lineRule="auto"/>
      </w:pPr>
      <w:r>
        <w:t xml:space="preserve">5.8 오류 분석</w:t>
      </w:r>
    </w:p>
    <w:p>
      <w:pPr>
        <w:spacing w:after="110" w:line="276" w:lineRule="auto"/>
      </w:pPr>
      <w:r>
        <w:t xml:space="preserve">표 12. 구제·훼손 분해와 Oracle 천장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1800"/>
        <w:gridCol w:w="1000"/>
        <w:gridCol w:w="1000"/>
        <w:gridCol w:w="900"/>
        <w:gridCol w:w="900"/>
        <w:gridCol w:w="900"/>
        <w:gridCol w:w="1000"/>
        <w:gridCol w:w="1000"/>
        <w:gridCol w:w="1000"/>
        <w:gridCol w:w="1200"/>
      </w:tblGrid>
      <w:tr>
        <w:trPr>
          <w:tblHeader/>
        </w:trPr>
        <w:tc>
          <w:tcPr>
            <w:tcW w:w="18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모델</w:t>
            </w:r>
          </w:p>
        </w:tc>
        <w:tc>
          <w:tcPr>
            <w:tcW w:w="1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plain</w:t>
            </w:r>
          </w:p>
        </w:tc>
        <w:tc>
          <w:tcPr>
            <w:tcW w:w="1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게이트</w:t>
            </w:r>
          </w:p>
        </w:tc>
        <w:tc>
          <w:tcPr>
            <w:tcW w:w="9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구제</w:t>
            </w:r>
          </w:p>
        </w:tc>
        <w:tc>
          <w:tcPr>
            <w:tcW w:w="9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훼손</w:t>
            </w:r>
          </w:p>
        </w:tc>
        <w:tc>
          <w:tcPr>
            <w:tcW w:w="9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순증</w:t>
            </w:r>
          </w:p>
        </w:tc>
        <w:tc>
          <w:tcPr>
            <w:tcW w:w="1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구제율</w:t>
            </w:r>
          </w:p>
        </w:tc>
        <w:tc>
          <w:tcPr>
            <w:tcW w:w="1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훼손율</w:t>
            </w:r>
          </w:p>
        </w:tc>
        <w:tc>
          <w:tcPr>
            <w:tcW w:w="1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Oracle</w:t>
            </w:r>
          </w:p>
        </w:tc>
        <w:tc>
          <w:tcPr>
            <w:tcW w:w="12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남은 여지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Qwen2.5-7B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49.4%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50.5%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+13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8.7%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6.6%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69.2%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+18.6p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HuatuoGPT-o1-7B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48.3%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49.3%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144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133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+11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24.5%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24.2%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71.0%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+21.7p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EXAONE-3.5-7.8B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47.3%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48.9%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+19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5.3%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2.4%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67.7%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+18.7p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MedGemma-4B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42.1%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43.6%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53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+17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8.0%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7.5%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61.5%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+17.9p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SOLAR-10.7B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38.7%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42.5%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229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185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+44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32.8%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42.0%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67.2%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+24.7p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Mistral-7B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30.7%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38.8%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245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152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+93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31.1%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43.6%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60.4%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+21.5p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OpenBioLLM-8B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27.1%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31.6%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238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186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+52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28.7%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60.4%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57.1%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+25.5p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BioMistral-7B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21.1%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24.2%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222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187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+35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24.7%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77.9%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52.3%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+28.1p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MedLLaMA2-7B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19.4%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28.6%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234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129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+105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25.5%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58.4%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48.2%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+19.6p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합계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1,447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1,058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+389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구제:훼손 = 1.37:1 (문항 10,242). 훼손율이 기저 정확도와 강하게 반비례 (EXAONE 2.4% vs BioMistral 77.9%). Oracle 대비 평균 +21.8%p 여지가 남음.</w:t>
      </w:r>
    </w:p>
    <w:p>
      <w:pPr>
        <w:spacing w:after="110" w:line="276" w:lineRule="auto"/>
      </w:pPr>
      <w:r>
        <w:t xml:space="preserve">표 13. 과목별 게이트 효과 (9모델 합산)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6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26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과목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문항 수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plain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게이트</w:t>
            </w:r>
          </w:p>
        </w:tc>
        <w:tc>
          <w:tcPr>
            <w:tcW w:w="15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Δ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한방생리학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34.7%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41.1%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+6.42p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신경정신과학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59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47.5%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53.5%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+6.03p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예방의학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89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45.4%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51.2%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+5.74p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보건의약관계법규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34.0%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39.4%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+5.42p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안이비인후과학 †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37.7%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42.9%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+5.16p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외과학 †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27.8%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31.3%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+3.57p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부인과학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113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40.1%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43.7%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+3.54p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내과학1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270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37.9%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41.2%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+3.29p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침구학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143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32.6%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35.7%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+3.19p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본초학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22.2%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24.9%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+2.67p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소아과학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40.4%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42.9%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+2.53p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내과학2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126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25.9%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28.0%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+2.12p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† n&lt;40 소표본 — 1문항이 3.6%p 이상 움직이므로 강조 금지(§6.6). 12과목 전부 상승.</w:t>
      </w:r>
    </w:p>
    <w:p>
      <w:pPr>
        <w:spacing w:after="110" w:line="276" w:lineRule="auto"/>
      </w:pPr>
      <w:r>
        <w:t xml:space="preserve">표 14. 구제·훼손 문항의 분포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1200"/>
        <w:gridCol w:w="4200"/>
        <w:gridCol w:w="1300"/>
        <w:gridCol w:w="1300"/>
        <w:gridCol w:w="1200"/>
      </w:tblGrid>
      <w:tr>
        <w:trPr>
          <w:tblHeader/>
        </w:trPr>
        <w:tc>
          <w:tcPr>
            <w:tcW w:w="12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구분</w:t>
            </w:r>
          </w:p>
        </w:tc>
        <w:tc>
          <w:tcPr>
            <w:tcW w:w="42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상위 과목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보기 4지</w:t>
            </w:r>
          </w:p>
        </w:tc>
        <w:tc>
          <w:tcPr>
            <w:tcW w:w="13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보기 5지</w:t>
            </w:r>
          </w:p>
        </w:tc>
        <w:tc>
          <w:tcPr>
            <w:tcW w:w="12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합계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구제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내과학1 329 · 침구학 184 · 부인과학 151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1,116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1,447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훼손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내과학1 249 · 침구학 143 · 내과학2 121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775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283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1,058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비율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1.44 : 1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1.17 : 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1.37 : 1</w:t>
            </w:r>
          </w:p>
        </w:tc>
      </w:tr>
    </w:tbl>
    <w:p>
      <w:pPr>
        <w:spacing w:after="140"/>
      </w:pPr>
    </w:p>
    <w:p>
      <w:pPr>
        <w:pStyle w:val="Heading1"/>
        <w:spacing w:after="110" w:line="276" w:lineRule="auto"/>
      </w:pPr>
      <w:r>
        <w:t xml:space="preserve">진행 중 항목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600"/>
        <w:gridCol w:w="4000"/>
        <w:gridCol w:w="2000"/>
      </w:tblGrid>
      <w:tr>
        <w:trPr>
          <w:tblHeader/>
        </w:trPr>
        <w:tc>
          <w:tcPr>
            <w:tcW w:w="2600" w:type="dxa"/>
            <w:shd w:val="clear" w:fill="EEF3F8"/>
            <w:vAlign w:val="center"/>
          </w:tcPr>
          <w:p>
            <w:pPr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절</w:t>
            </w:r>
          </w:p>
        </w:tc>
        <w:tc>
          <w:tcPr>
            <w:tcW w:w="4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필요 데이터</w:t>
            </w:r>
          </w:p>
        </w:tc>
        <w:tc>
          <w:tcPr>
            <w:tcW w:w="2000" w:type="dxa"/>
            <w:shd w:val="clear" w:fill="EEF3F8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b/>
                <w:sz w:val="16"/>
                <w:szCs w:val="16"/>
              </w:rPr>
              <w:t xml:space="preserve">상태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5.1 Run-to-Run Variance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ktm_results_plain_v2 (짝맞춤 baseline)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30/36 진행 중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5.4 Graph vs Dense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ktm_results_graphrag (stage 5)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0/36 대기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5.4 프롬프팅 교란 분리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ktm_results_graphrag_stage0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0/36 대기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5.3 SC 델타 상관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ktm_results_stage4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0/36 대기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규모 사다리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Qwen 14B/32B AWQ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0 대기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km_rag RAG 완결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HuatuoGPT-o1-7B 4건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spacing w:after="10" w:line="240" w:lineRule="auto"/>
            </w:pPr>
            <w:r>
              <w:rPr>
                <w:sz w:val="16"/>
                <w:szCs w:val="16"/>
              </w:rPr>
              <w:t xml:space="preserve">재시도 예약</w:t>
            </w:r>
          </w:p>
        </w:tc>
      </w:tr>
    </w:tbl>
    <w:p>
      <w:pPr>
        <w:spacing w:after="160" w:line="276" w:lineRule="auto"/>
      </w:pPr>
      <w:r>
        <w:rPr>
          <w:i/>
          <w:sz w:val="16"/>
          <w:szCs w:val="16"/>
          <w:color w:val="666666"/>
        </w:rPr>
        <w:t xml:space="preserve">※ HuatuoGPT는 가중치 JSON 손상(JSONDecodeError)으로 서버 기동 실패. 캐시 삭제 후 재시도 예약됨. CLAUDE.md 규칙에 따라 실패를 기록하며 임의 제외하지 않음.</w:t>
      </w:r>
    </w:p>
    <w:sectPr>
      <w:pgSz w:w="16838" w:h="11906" w:orient="landscape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18"/>
      </w:rPr>
    </w:rPrDefault>
  </w:docDefaults>
  <w:style w:type="paragraph" w:default="1" w:styleId="Normal">
    <w:name w:val="Normal"/>
    <w:pPr>
      <w:spacing w:after="110" w:line="276" w:lineRule="auto"/>
    </w:pPr>
    <w:rPr>
      <w:sz w:val="18"/>
    </w:rPr>
  </w:style>
  <w:style w:type="paragraph" w:styleId="Title">
    <w:name w:val="Title"/>
    <w:basedOn w:val="Normal"/>
    <w:pPr>
      <w:spacing w:before="0" w:after="60"/>
    </w:pPr>
    <w:rPr>
      <w:b/>
      <w:sz w:val="32"/>
    </w:rPr>
  </w:style>
  <w:style w:type="paragraph" w:styleId="Heading1">
    <w:name w:val="heading 1"/>
    <w:basedOn w:val="Normal"/>
    <w:pPr>
      <w:spacing w:before="300" w:after="130"/>
      <w:outlineLvl w:val="0"/>
    </w:pPr>
    <w:rPr>
      <w:b/>
      <w:color w:val="1F3864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