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[80% confidence] End-to-end encryption for customer data is not implemented</w:t>
        <w:br/>
        <w:t>Reason: Current policy only mentions encryption in general terms, without specifying end-to-end encryption</w:t>
        <w:br/>
        <w:t>Suggested Fix: Update the Data Protection Policy to explicitly require end-to-end encryption for customer data</w:t>
      </w:r>
    </w:p>
    <w:p>
      <w:pPr>
        <w:pStyle w:val="ListBullet"/>
      </w:pPr>
      <w:r>
        <w:t>[90% confidence] Quarterly security audits are not conducted</w:t>
        <w:br/>
        <w:t>Reason: Current policy does not mention regular security audits, let alone quarterly ones</w:t>
        <w:br/>
        <w:t>Suggested Fix: Add a section to the Information Security Policy requiring quarterly security audits</w:t>
      </w:r>
    </w:p>
    <w:p>
      <w:pPr>
        <w:pStyle w:val="ListBullet"/>
      </w:pPr>
      <w:r>
        <w:t>[70% confidence] Certification process for third-party vendors is not defined</w:t>
        <w:br/>
        <w:t>Reason: Current policy mentions vendor management, but does not specify a certification process or timeline</w:t>
        <w:br/>
        <w:t>Suggested Fix: Update the Third-Party Vendor Management Policy to include a certification process with a 60-day timeline</w:t>
      </w:r>
    </w:p>
    <w:p>
      <w:pPr>
        <w:pStyle w:val="Heading2"/>
      </w:pPr>
      <w:r>
        <w:t>Updated SOP Language</w:t>
      </w:r>
    </w:p>
    <w:p>
      <w:r>
        <w:t>**Data Protection Policy Update**: In accordance with the New Data Privacy Amendment 2025, effective immediately, all customer data must be encrypted using end-to-end encryption protocols to ensure the confidentiality, integrity, and availability of sensitive information. This policy update requires that all financial institution systems, applications, and services handling customer data implement robust encryption mechanisms to protect against unauthorized access, disclosure, or tampering. The encryption protocols must be compliant with industry-recognized standards, such as AES-256, and must be regularly reviewed and updated to ensure ongoing effectiveness.</w:t>
        <w:br/>
        <w:br/>
        <w:t>**Information Security Policy Addendum**: To ensure the ongoing security and integrity of our systems and data, we are instituting a quarterly security audit requirement. These audits will be conducted by internal or external auditors, as approved by the Chief Information Security Officer (CISO), and will assess the effectiveness of our security controls, identify potential vulnerabilities, and evaluate compliance with relevant regulations and industry standards. The audit findings and recommendations will be documented, tracked, and remediated in a timely manner, with prioritization based on risk severity. The CISO will review and approve the audit schedule, scope, and methodology to ensure that these audits are comprehensive and effective in identifying and mitigating security risks.</w:t>
        <w:br/>
        <w:br/>
        <w:t>**Third-Party Vendor Management Policy Update**: To mitigate the risks associated with third-party vendors handling customer data, we are establishing a certification process to ensure that these vendors meet our security and compliance requirements. The certification process will require vendors to provide documentation and evidence of their compliance with industry-recognized security standards, such as SOC 2 or ISO 27001, within 60 days of contract execution or renewal. The certification process will be managed by the Vendor Management Office, which will review and verify the vendor's compliance documentation, conduct risk assessments, and monitor ongoing compliance. Vendors that fail to meet the certification requirements within the specified timeline may be subject to contract termination or other remedial actions, as determined by the Vendor Management Office.</w:t>
      </w:r>
    </w:p>
    <w:p>
      <w:pPr>
        <w:pStyle w:val="Heading2"/>
      </w:pPr>
      <w:r>
        <w:t>Recent Enforcement Actions</w:t>
      </w:r>
    </w:p>
    <w:p>
      <w: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2026-05-15 23:26</w:t>
        <w:br/>
        <w:t>Pipeline Run: 0e92ea5f</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