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[80% confidence] The policy does not explicitly state the frequency of reviews for encryption protocols.</w:t>
        <w:br/>
        <w:t>Reason: The policy mentions regular reviews but does not specify the frequency.</w:t>
        <w:br/>
        <w:t>Suggested Fix: Add a statement to Section 3.1 specifying that encryption protocols will be reviewed at least annually.</w:t>
      </w:r>
    </w:p>
    <w:p>
      <w:pPr>
        <w:pStyle w:val="ListBullet"/>
      </w:pPr>
      <w:r>
        <w:t>[70% confidence] The policy does not provide details on how audit findings will be tracked and remediated.</w:t>
        <w:br/>
        <w:t>Reason: The policy mentions implementing corrective actions but lacks specifics on tracking and remediation.</w:t>
        <w:br/>
        <w:t>Suggested Fix: Add a statement to Section 5.2 outlining the process for tracking and remediating audit findings.</w:t>
      </w:r>
    </w:p>
    <w:p>
      <w:pPr>
        <w:pStyle w:val="ListBullet"/>
      </w:pPr>
      <w:r>
        <w:t>[90% confidence] The policy does not specify the criteria for approving third-party vendors.</w:t>
        <w:br/>
        <w:t>Reason: The policy mentions a certification process but does not provide clear criteria for approval.</w:t>
        <w:br/>
        <w:t>Suggested Fix: Add a statement to Section 6.1 outlining the specific criteria for approving third-party vendors.</w:t>
      </w:r>
    </w:p>
    <w:p>
      <w:pPr>
        <w:pStyle w:val="Heading2"/>
      </w:pPr>
      <w:r>
        <w:t>Updated SOP Language</w:t>
      </w:r>
    </w:p>
    <w:p>
      <w:r>
        <w:t>**Section 3.1: Encryption Protocols**</w:t>
        <w:br/>
        <w:t>To ensure the confidentiality, integrity, and availability of customer data, as mandated by the New Data Privacy Amendment 2025, our organization will implement and maintain robust encryption protocols. These protocols will be designed to protect sensitive customer information from unauthorized access, disclosure, or breach. In accordance with industry best practices and regulatory requirements, our encryption protocols will be reviewed at least annually to ensure their continued effectiveness and compliance with applicable laws and regulations. This review will include an assessment of the encryption algorithms, key management practices, and other relevant controls to ensure that they remain aligned with the latest security standards and threat intelligence.</w:t>
        <w:br/>
        <w:br/>
        <w:t>**Section 5.2: Audit Findings and Remediation**</w:t>
        <w:br/>
        <w:t>Our organization is committed to maintaining a robust audit program to identify and remediate any control weaknesses or deficiencies related to the protection of customer data. In the event of an audit finding, our internal audit team will track and document the issue, assign a risk rating, and develop a corrective action plan to address the deficiency. The plan will include specific remediation steps, responsible personnel, and timelines for completion. Our audit findings will be tracked and remediated in accordance with the following process: (i) identification and documentation of the finding; (ii) assignment of a risk rating and prioritization; (iii) development of a corrective action plan; (iv) implementation of the remediation plan; and (v) verification of the correction through follow-up audits or testing. This process will ensure that all audit findings are properly addressed, and that our controls are operating effectively to protect customer data.</w:t>
        <w:br/>
        <w:br/>
        <w:t>**Section 6.1: Third-Party Vendor Approval**</w:t>
        <w:br/>
        <w:t>To mitigate the risks associated with engaging third-party vendors, our organization will establish a rigorous approval process that evaluates the vendor's ability to protect customer data. The following criteria will be used to approve third-party vendors: (i) compliance with the New Data Privacy Amendment 2025 and other applicable laws and regulations; (ii) adherence to industry-recognized security standards and best practices; (iii) demonstration of a robust information security program, including incident response and breach notification procedures; (iv) provision of audit reports or other assurance statements, such as SOC 2 reports; and (v) execution of a contract or agreement that includes provisions for data protection, confidentiality, and indemnification. Our vendor approval process will ensure that only qualified and trustworthy vendors are engaged to handle customer data, and that our organization's security controls are extended to the vendor environment through contractual and other means.</w:t>
      </w:r>
    </w:p>
    <w:p>
      <w:pPr>
        <w:pStyle w:val="Heading2"/>
      </w:pPr>
      <w:r>
        <w:t>Recent Enforcement Actions</w:t>
      </w:r>
    </w:p>
    <w:p>
      <w: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2026-05-15 22:44</w:t>
        <w:br/>
        <w:t>Pipeline Run: 88affeb1</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