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[80% confidence] End-to-end encryption for customer data is not explicitly implemented.</w:t>
        <w:br/>
        <w:t>Reason: The policy mentions encryption protocols but does not explicitly state that end-to-end encryption is implemented.</w:t>
        <w:br/>
        <w:t>Suggested Fix: Update Section 3.1 to explicitly state that end-to-end encryption is implemented for customer data.</w:t>
      </w:r>
    </w:p>
    <w:p>
      <w:pPr>
        <w:pStyle w:val="ListBullet"/>
      </w:pPr>
      <w:r>
        <w:t>[90% confidence] Quarterly security audits are not mentioned in the current policies.</w:t>
        <w:br/>
        <w:t>Reason: The policy mentions an audit program but does not specify the frequency of audits.</w:t>
        <w:br/>
        <w:t>Suggested Fix: Update Section 5.2 to include a requirement for quarterly security audits.</w:t>
      </w:r>
    </w:p>
    <w:p>
      <w:pPr>
        <w:pStyle w:val="ListBullet"/>
      </w:pPr>
      <w:r>
        <w:t>[90% confidence] Certification of third-party vendors within 60 days is not mentioned in the current policies.</w:t>
        <w:br/>
        <w:t>Reason: The policy mentions a vendor approval process but does not specify a timeframe for certification.</w:t>
        <w:br/>
        <w:t>Suggested Fix: Update Section 6.1 to include a requirement for certifying third-party vendors within 60 days.</w:t>
      </w:r>
    </w:p>
    <w:p>
      <w:pPr>
        <w:pStyle w:val="Heading2"/>
      </w:pPr>
      <w:r>
        <w:t>Updated SOP Language</w:t>
      </w:r>
    </w:p>
    <w:p>
      <w:r>
        <w:t>**Section 3.1: Data Encryption**</w:t>
        <w:br/>
        <w:t>In accordance with the New Data Privacy Amendment 2025, our institution is committed to safeguarding customer data through the implementation of end-to-end encryption. As of the effective date of this policy, all customer data, whether in transit or at rest, shall be encrypted using industry-recognized encryption protocols, such as AES-256. This encryption shall be applied uniformly across all systems, networks, and applications that handle customer data, ensuring that sensitive information remains confidential and protected from unauthorized access. Our institution shall regularly review and update our encryption methods to ensure ongoing compliance with relevant regulatory requirements and industry standards.</w:t>
        <w:br/>
        <w:br/>
        <w:t>**Section 5.2: Security Audits and Risk Assessments**</w:t>
        <w:br/>
        <w:t>To ensure the continued security and integrity of our systems and data, our institution shall conduct quarterly security audits and risk assessments. These audits shall be performed by qualified internal personnel or external third-party experts, and shall include a comprehensive review of our institution's security controls, network architecture, and data handling practices. The purpose of these audits is to identify and remediate potential security vulnerabilities, as well as to evaluate the effectiveness of our existing security measures in protecting customer data. Audit findings and recommendations shall be documented and presented to senior management for review and implementation, with corrective actions taken promptly to address any identified deficiencies.</w:t>
        <w:br/>
        <w:br/>
        <w:t>**Section 6.1: Third-Party Vendor Management**</w:t>
        <w:br/>
        <w:t>Our institution recognizes the importance of ensuring that third-party vendors handling customer data on our behalf adhere to the same stringent security and privacy standards as our institution. To this end, we require that all third-party vendors undergo certification within 60 days of initial engagement or contract renewal. This certification shall involve a thorough review of the vendor's security controls, data handling practices, and compliance with relevant regulatory requirements, including the New Data Privacy Amendment 2025. Vendors shall provide documentation and evidence of their compliance, which shall be reviewed and verified by our institution's designated personnel. Failure to achieve certification within the specified timeframe may result in termination of the vendor contract or other remedial action, as deemed necessary to protect customer data and maintain regulatory compliance.</w:t>
      </w:r>
    </w:p>
    <w:p>
      <w:pPr>
        <w:pStyle w:val="Heading2"/>
      </w:pPr>
      <w:r>
        <w:t>Recent Enforcement Actions</w:t>
      </w:r>
    </w:p>
    <w:p>
      <w:r>
        <w:t xml:space="preserve">• Data Privacy Developments in 2025 and Compliance ...: # U.S. and international data privacy developments in 2025 and compliance considerations for 2026. Data privacy regulation continued to accelerate in 2025, with both U.S. regulators and international </w:t>
        <w:br/>
        <w:t>• US state privacy fines reached $3.425 billion in 2025 - Help Net Security: # US state privacy fines reached $3.425 billion in 2025. State privacy regulators across the United States collected $3.425 billion in privacy-related fines from companies in 2025. Gartner derived the</w:t>
        <w:br/>
        <w:t>• Retrospective: 2025 in State Data Privacy Law - Troutman Pepper Locke: We saw hundreds of consumer privacy bills introduced, newly enacted amendments to existing laws, multiple states engaging in rulemaking, including potentially game-changing rulemaking in California, n</w:t>
      </w:r>
    </w:p>
    <w:p>
      <w:pPr>
        <w:pStyle w:val="Heading2"/>
      </w:pPr>
      <w:r>
        <w:t>Audit Information</w:t>
      </w:r>
    </w:p>
    <w:p>
      <w:r>
        <w:t>Generated: 2026-05-15 22:55</w:t>
        <w:br/>
        <w:t>Pipeline Run: 1836bc3d</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