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section outlining the certification process for third-party vendors</w:t>
      </w:r>
    </w:p>
    <w:p>
      <w:pPr>
        <w:pStyle w:val="Heading2"/>
      </w:pPr>
      <w:r>
        <w:t>Updated SOP Language</w:t>
      </w:r>
    </w:p>
    <w:p>
      <w:r>
        <w:t>**Section 3.1: Data Encryption Policy**</w:t>
        <w:br/>
        <w:t>In accordance with the New Data Privacy Amendment 2025, our institution is committed to ensuring the confidentiality, integrity, and availability of customer data. To achieve this, we hereby establish a data encryption policy that requires end-to-end encryption for all customer data, both in transit and at rest. This policy applies to all customer data, including but not limited to, personally identifiable information (PII), financial information, and sensitive personal data. We will implement industry-accepted encryption protocols, such as Transport Layer Security (TLS) and Advanced Encryption Standard (AES), to protect customer data from unauthorized access, disclosure, or tampering.</w:t>
        <w:br/>
        <w:br/>
        <w:t>**Section 4.2: Security Audit and Risk Assessment Policy**</w:t>
        <w:br/>
        <w:t>To ensure the effectiveness of our data security controls and compliance with regulatory requirements, we will conduct quarterly security audits and risk assessments. These audits will be performed by our internal audit team or external third-party auditors, and will cover all aspects of our data security posture, including but not limited to, network security, access controls, data encryption, and incident response. The results of these audits will be documented and presented to our senior management team, and will inform our risk management and compliance efforts. We will also maintain a record of all audit findings, remediation efforts, and compliance status, and will make these records available to regulatory authorities upon request.</w:t>
        <w:br/>
        <w:br/>
        <w:t>**Section 5.3: Third-Party Vendor Certification Policy**</w:t>
        <w:br/>
        <w:t>To mitigate the risks associated with outsourcing data processing and storage to third-party vendors, we will establish a certification process to ensure that all vendors comply with our data security and privacy standards. This process will include a thorough review of each vendor's data security controls, including their encryption protocols, access controls, and incident response plans. Vendors will be required to provide documentation and evidence of their compliance with industry-accepted standards, such as the Payment Card Industry Data Security Standard (PCI DSS) and the National Institute of Standards and Technology (NIST) Cybersecurity Framework. Upon successful completion of the certification process, vendors will be issued a certificate of compliance, which will be valid for a period of one year, subject to annual recertification and ongoing monitoring.</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04:39</w:t>
        <w:br/>
        <w:t>Pipeline Run: 4e9fc094</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