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Third-party vendors are not certified within 60 days</w:t>
        <w:br/>
        <w:t>Reason: There is no mention of third-party vendor certification in the current policies</w:t>
        <w:br/>
        <w:t>Suggested Fix: Develop a new policy for certifying third-party vendors within the required timeframe</w:t>
      </w:r>
    </w:p>
    <w:p>
      <w:pPr>
        <w:pStyle w:val="Heading2"/>
      </w:pPr>
      <w:r>
        <w:t>Updated SOP Language</w:t>
      </w:r>
    </w:p>
    <w:p>
      <w:r>
        <w:t>**Data Security Policy Update**</w:t>
        <w:br/>
        <w:t>As of the effective date of this policy, our institution is committed to complying with the New Data Privacy Amendment 2025, which mandates the encryption of customer data by financial institutions. In accordance with this regulation, our data security policy has been updated to require end-to-end encryption for all customer data, both in transit and at rest. This will ensure that sensitive information is protected from unauthorized access, thereby safeguarding our customers' personally identifiable information (PII) and maintaining the confidentiality, integrity, and availability of their data. All customer data, including but not limited to account numbers, social security numbers, and financial transaction records, will be encrypted using industry-standard encryption protocols, such as Advanced Encryption Standard (AES) with a minimum key length of 256 bits.</w:t>
        <w:br/>
        <w:br/>
        <w:t>**Quarterly Security Audit Policy**</w:t>
        <w:br/>
        <w:t>To further strengthen our data security posture and ensure compliance with the New Data Privacy Amendment 2025, our institution will conduct quarterly security audits to identify and mitigate potential vulnerabilities in our systems and processes. These audits will be performed by our internal audit team or an independent third-party auditor, and will include a thorough review of our data encryption protocols, access controls, and incident response procedures. The audit will also assess our compliance with relevant regulatory requirements, including the Gramm-Leach-Bliley Act (GLBA) and the Payment Card Industry Data Security Standard (PCI DSS). Audit findings and recommendations will be documented, tracked, and remediated in a timely manner to ensure that our security controls are operating effectively and that we remain in compliance with applicable laws and regulations.</w:t>
        <w:br/>
        <w:br/>
        <w:t>**Third-Party Vendor Certification Policy**</w:t>
        <w:br/>
        <w:t>Our institution recognizes the importance of ensuring that third-party vendors who have access to our customer data are properly certified and compliant with relevant data security standards. To address this requirement, we have established a new policy for certifying third-party vendors within 60 days of engagement. All third-party vendors will be required to undergo a comprehensive risk assessment andProvide documentation of their compliance with industry-recognized security standards, such as the Service Organization Control (SOC) 2 framework or the International Organization for Standardization (ISO) 27001 standard. Vendors who fail to provide satisfactory documentation or who are found to be non-compliant with our security requirements will be subject to remediation or termination, as applicable. Our vendor certification process will be reviewed and updated annually, or as needed, to ensure that we remain in compliance with the New Data Privacy Amendment 2025 and other applicable regulations.</w:t>
      </w:r>
    </w:p>
    <w:p>
      <w:pPr>
        <w:pStyle w:val="Heading2"/>
      </w:pPr>
      <w:r>
        <w:t>Recent Enforcement Actions</w:t>
      </w:r>
    </w:p>
    <w:p>
      <w:r>
        <w:t xml:space="preserve">• California Privacy Protection Agency Announces 2025 Increases for CCPA Fines and Penalties: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04:48</w:t>
        <w:br/>
        <w:t>Pipeline Run: 0f79601b</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