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section requiring quarterly security audits</w:t>
      </w:r>
    </w:p>
    <w:p>
      <w:pPr>
        <w:pStyle w:val="ListBullet"/>
      </w:pPr>
      <w:r>
        <w:t>[100% confidence] Certification process for third-party vendors is not defined</w:t>
        <w:br/>
        <w:t>Reason: There is no mention of certifying third-party vendors in the current policies</w:t>
        <w:br/>
        <w:t>Suggested Fix: Develop a new policy outlining the certification process for third-party vendors</w:t>
      </w:r>
    </w:p>
    <w:p>
      <w:pPr>
        <w:pStyle w:val="Heading2"/>
      </w:pPr>
      <w:r>
        <w:t>Updated SOP Language</w:t>
      </w:r>
    </w:p>
    <w:p>
      <w:r>
        <w:t>**Section 1: Data Security Policy - End-to-End Encryption**</w:t>
        <w:br/>
        <w:t>As of [Effective Date], our institution is committed to ensuring the confidentiality, integrity, and availability of customer data in accordance with the New Data Privacy Amendment 2025. To achieve this, we hereby update our data security policy to require end-to-end encryption for all customer data, both in transit and at rest. This includes, but is not limited to, personally identifiable information (PII), financial account numbers, and any other sensitive data collected, processed, or stored by our institution. Our information security team will implement and maintain industry-standard encryption protocols, such as Transport Layer Security (TLS) and Advanced Encryption Standard (AES), to safeguard customer data against unauthorized access, modification, or disclosure.</w:t>
        <w:br/>
        <w:br/>
        <w:t>**Section 2: Quarterly Security Audits**</w:t>
        <w:br/>
        <w:t>To ensure the effectiveness of our data security controls and compliance with regulatory requirements, we establish a quarterly security audit schedule. These audits will be conducted by our internal audit team or designated third-party auditors, and will assess the implementation and efficacy of our data security policies, procedures, and technical controls. The audit scope will include, but is not limited to, network security, access controls, data encryption, and incident response. Audit findings and recommendations will be documented and presented to senior management, with action plans developed and implemented to address any identified vulnerabilities or control weaknesses. Quarterly security audit reports will be maintained for a minimum of three years, and made available to regulatory authorities upon request.</w:t>
        <w:br/>
        <w:br/>
        <w:t>**Section 3: Third-Party Vendor Certification Process**</w:t>
        <w:br/>
        <w:t>To mitigate the risks associated with outsourcing and third-party vendor relationships, we hereby establish a certification process for all third-party vendors handling customer data. This process will include, but is not limited to, a thorough review of the vendor's data security controls, compliance with industry standards (e.g., SOC 2, ISO 27001), and contractual obligations to protect customer data. Vendors will be required to provide annual certifications, which will be verified by our procurement and information security teams. The certification process will include a risk assessment, due diligence review, and contractual agreements outlining the vendor's obligations to maintain the confidentiality, integrity, and availability of customer data. Failure to comply with this certification process may result in termination of the vendor relationship, as per our institution's contract management policies.</w:t>
      </w:r>
    </w:p>
    <w:p>
      <w:pPr>
        <w:pStyle w:val="Heading2"/>
      </w:pPr>
      <w:r>
        <w:t>Recent Enforcement Actions</w:t>
      </w:r>
    </w:p>
    <w:p>
      <w:r>
        <w:t xml:space="preserve">• California Privacy Protection Agency Announces 2025 Increases for CCPA Fines and Penalties: # California Privacy Protection Agency Announces 2025 Increases for CCPA Fines and Penalties. In compliance with the California Consumer Privacy Act (CCPA), every other year. the Agency adjusts fines </w:t>
        <w:br/>
        <w:t>• 2026 Data Privacy Enforcement Trends: What Regulators Are Actually Fining Companies For - Clarip Privacy Blog: `  2026 Data Privacy Enforcement Trends: What Regulators Are Actually Fining Companies For - Clarip Privacy Blog. Data Risk Intelligence Automated Data Mapping Do Not Sell/Do Not Share Cookie Banner S</w:t>
        <w:br/>
        <w:t>• Regulatory Penalties Dropped in '25, Led by Sharp US Decline: ###### *CCI staff share recent surveys, reports and analysis on risk, compliance, governance, infosec and leadership issues. ## Global fines for AML, KYC and related violations totaled almost $4 billi</w:t>
      </w:r>
    </w:p>
    <w:p>
      <w:pPr>
        <w:pStyle w:val="Heading2"/>
      </w:pPr>
      <w:r>
        <w:t>Audit Information</w:t>
      </w:r>
    </w:p>
    <w:p>
      <w:r>
        <w:t>Generated: 2026-05-16 04:59</w:t>
        <w:br/>
        <w:t>Pipeline Run: 83010c88</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