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section outlining the certification process for third-party vendors</w:t>
      </w:r>
    </w:p>
    <w:p>
      <w:pPr>
        <w:pStyle w:val="Heading2"/>
      </w:pPr>
      <w:r>
        <w:t>Updated SOP Language</w:t>
      </w:r>
    </w:p>
    <w:p>
      <w:r>
        <w:t>**Data Security Policy Update (Section 3.1)**: In accordance with the New Data Privacy Amendment 2025, [Financial Institution Name] is committed to protecting customer data through end-to-end encryption. As of the effective date of this policy update, all customer data, whether at rest or in transit, shall be encrypted using industry-recognized encryption protocols, such as Advanced Encryption Standard (AES) 256-bit or equivalent. This encryption requirement applies to all customer data, including but not limited to, personally identifiable information (PII), financial account information, and transactional data. The Data Security Team shall be responsible for implementing and maintaining the encryption protocols, ensuring that all customer data is protected from unauthorized access, disclosure, or breach.</w:t>
        <w:br/>
        <w:br/>
        <w:t>**Quarterly Security Audit Policy (Section 4.2)**: To ensure the confidentiality, integrity, and availability of customer data, [Financial Institution Name] shall conduct quarterly security audits to identify and remediate potential vulnerabilities. The security audits shall be performed by the Internal Audit Team or an authorized third-party auditor, and shall include, but not be limited to, reviews of access controls, data encryption, network security, and incident response procedures. The audit findings and recommendations shall be documented and presented to the Compliance Committee for review and implementation. The Quarterly Security Audit Schedule shall be as follows: Q1 (January 15th), Q2 (April 15th), Q3 (July 15th), and Q4 (October 15th). The audit reports shall be maintained for a minimum of three years, and shall be made available to regulatory agencies upon request.</w:t>
        <w:br/>
        <w:br/>
        <w:t>**Third-Party Vendor Certification Policy (Section 5.3)**: [Financial Institution Name] recognizes the importance of ensuring that third-party vendors handling customer data meet the same data security and privacy standards as the institution. Therefore, a certification process for third-party vendors has been established. All third-party vendors shall be required to undergo a comprehensive review and certification process, which shall include, but not be limited to, completion of a vendor questionnaire, provision of audit reports and certifications (e.g., SOC 2, ISO 27001), and review of their data security and privacy policies. The certification process shall be conducted annually, and vendors shall be required to maintain compliance with the New Data Privacy Amendment 2025 and other relevant regulations. The Vendor Management Team shall be responsible for overseeing the certification process and ensuring that all third-party vendors meet the required standards.</w:t>
      </w:r>
    </w:p>
    <w:p>
      <w:pPr>
        <w:pStyle w:val="Heading2"/>
      </w:pPr>
      <w:r>
        <w:t>Recent Enforcement Actions</w:t>
      </w:r>
    </w:p>
    <w:p>
      <w:r>
        <w:t>Enforcement news unavailable.</w:t>
      </w:r>
    </w:p>
    <w:p>
      <w:pPr>
        <w:pStyle w:val="Heading2"/>
      </w:pPr>
      <w:r>
        <w:t>Audit Information</w:t>
      </w:r>
    </w:p>
    <w:p>
      <w:r>
        <w:t>Generated: 2026-05-16 05:23</w:t>
        <w:br/>
        <w:t>Pipeline Run: 41391975</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