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ensure compliance</w:t>
      </w:r>
    </w:p>
    <w:p>
      <w:pPr>
        <w:pStyle w:val="ListBullet"/>
      </w:pPr>
      <w:r>
        <w:t>[100% confidence] Third-party vendors are not certified</w:t>
        <w:br/>
        <w:t>Reason: There is no mention of certifying third-party vendors in the current policies</w:t>
        <w:br/>
        <w:t>Suggested Fix: Develop a new policy and procedure for certifying third-party vendors</w:t>
      </w:r>
    </w:p>
    <w:p>
      <w:pPr>
        <w:pStyle w:val="Heading2"/>
      </w:pPr>
      <w:r>
        <w:t>Updated SOP Language</w:t>
      </w:r>
    </w:p>
    <w:p>
      <w:r>
        <w:t>**Data Security Policy Update**: In accordance with the New Data Privacy Amendment 2025, this organization is committed to maintaining the confidentiality, integrity, and availability of customer data. To ensure compliance with the amended regulation, all customer data shall be encrypted using end-to-end encryption protocols. This requirement applies to all data in transit and at rest, including but not limited to, personally identifiable information (PII), financial information, and sensitive business data. The encryption protocols shall be implemented and maintained in accordance with industry-recognized standards, such as the Advanced Encryption Standard (AES) and the Transport Layer Security (TLS) protocol.</w:t>
        <w:br/>
        <w:br/>
        <w:t>**Quarterly Security Audit Policy**: To ensure the continued security and integrity of our systems and data, this organization shall conduct quarterly security audits. These audits shall be designed to identify and remediate potential vulnerabilities, weaknesses, and compliance gaps in our security controls and protocols. The audits shall be performed by qualified internal or external personnel, and shall include a review of access controls, data encryption, network security, and incident response procedures. The results of each audit shall be documented and presented to senior management, and shall include recommendations for remediation and corrective action. The quarterly security audit schedule shall be as follows: audits shall be completed by the end of March, June, September, and December of each year.</w:t>
        <w:br/>
        <w:br/>
        <w:t>**Third-Party Vendor Certification Policy**: This organization recognizes the importance of ensuring that third-party vendors handling customer data are compliant with applicable laws and regulations. To address this risk, we shall develop and implement a certification program for all third-party vendors. The certification program shall require vendors to provide documentation of their compliance with industry-recognized security standards, such as the Payment Card Industry Data Security Standard (PCI DSS) and the Service Organization Control (SOC) framework. Vendors shall also be required to undergo periodic security audits and risk assessments, and to provide evidence of their compliance with the New Data Privacy Amendment 2025. The certification program shall be administered by the organization's compliance department, and shall include ongoing monitoring and review of vendor compliance.</w:t>
      </w:r>
    </w:p>
    <w:p>
      <w:pPr>
        <w:pStyle w:val="Heading2"/>
      </w:pPr>
      <w:r>
        <w:t>Recent Enforcement Actions</w:t>
      </w:r>
    </w:p>
    <w:p>
      <w: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05:28</w:t>
        <w:br/>
        <w:t>Pipeline Run: eb8b75f6</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