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w:t>
        <w:br/>
        <w:t>In accordance with the New Data Privacy Amendment 2025, our institution is committed to ensuring the confidentiality, integrity, and availability of customer data. To achieve this, we are updating our Data Security Policy to require end-to-end encryption for all customer data, both in transit and at rest. This means that all customer data will be encrypted using industry-recognized encryption protocols, such as AES-256, to protect it from unauthorized access or disclosure. Our encryption protocols will be regularly reviewed and updated to ensure they remain compliant with relevant regulatory requirements and industry standards.</w:t>
        <w:br/>
        <w:br/>
        <w:t>**Quarterly Security Audit Policy**</w:t>
        <w:br/>
        <w:t>To further ensure the security and integrity of our customer data, we are establishing a new policy requiring quarterly security audits to be conducted. These audits will be performed by our internal audit team or an independent third-party auditor, and will include a thorough review of our data security controls, encryption protocols, and incident response plans. The audits will be conducted in accordance with industry-recognized standards, such as NIST SP 800-53, and will identify any vulnerabilities or weaknesses in our data security posture. The results of each audit will be documented and presented to senior management, along with recommendations for remediation and mitigation of any identified risks.</w:t>
        <w:br/>
        <w:br/>
        <w:t>**Third-Party Vendor Certification Policy**</w:t>
        <w:br/>
        <w:t>To ensure that our third-party vendors are also compliant with the New Data Privacy Amendment 2025, we are developing a new policy outlining the certification process for these vendors. All third-party vendors will be required to undergo a certification process, which will include a thorough review of their data security controls, encryption protocols, and incident response plans. Vendors will be required to provide documentation of their compliance with relevant regulatory requirements, such as SOC 2 reports or ISO 27001 certifications. Our institution will also conduct regular audits and monitoring of our third-party vendors to ensure they continue to meet our data security standards and comply with the requirements of the New Data Privacy Amendment 2025.</w:t>
      </w:r>
    </w:p>
    <w:p>
      <w:pPr>
        <w:pStyle w:val="Heading2"/>
      </w:pPr>
      <w:r>
        <w:t>Recent Enforcement Actions</w:t>
      </w:r>
    </w:p>
    <w:p>
      <w:r>
        <w:t xml:space="preserve">• California Privacy Protection Agency Announces 2025 Increases for CCPA Fines and Penalties: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05:34</w:t>
        <w:br/>
        <w:t>Pipeline Run: 949d084e</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