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 party vendors is not defined</w:t>
        <w:br/>
        <w:t>Reason: There is no mention of certifying third party vendors in the current policies</w:t>
        <w:br/>
        <w:t>Suggested Fix: Develop a new policy outlining the certification process for third party vendors</w:t>
      </w:r>
    </w:p>
    <w:p>
      <w:pPr>
        <w:pStyle w:val="Heading2"/>
      </w:pPr>
      <w:r>
        <w:t>Updated SOP Language</w:t>
      </w:r>
    </w:p>
    <w:p>
      <w:r>
        <w:t>**Data Security Policy Update (NDA 2025 Compliance)**</w:t>
        <w:br/>
        <w:br/>
        <w:t>In accordance with the New Data Privacy Amendment 2025, our institution is committed to ensuring the confidentiality, integrity, and availability of customer data. As such, we are updating our Data Security Policy to require end-to-end encryption for all customer data, both in transit and at rest. This encryption will be implemented using industry-recognized standards, such as Advanced Encryption Standard (AES) with a minimum key length of 256 bits. All customer data, including but not limited to personally identifiable information (PII), financial information, and sensitive personal data, will be encrypted using secure protocols, including Transport Layer Security (TLS) and Secure Sockets Layer (SSL). This encryption will be applied to all data stored on our systems, networks, and databases, as well as data transmitted to and from our institution.</w:t>
        <w:br/>
        <w:br/>
        <w:t>**Quarterly Security Audit Policy**</w:t>
        <w:br/>
        <w:br/>
        <w:t>To ensure the ongoing security and integrity of our systems and data, we are establishing a new policy requiring quarterly security audits to be conducted. These audits will be performed by our internal audit team, in conjunction with external security experts, to identify and remediate any potential security vulnerabilities or weaknesses. The audits will include, but are not limited to, penetration testing, vulnerability assessments, and compliance reviews. The results of these audits will be documented and presented to senior management, with recommendations for remediation and mitigation of identified risks. Our institution will also maintain a record of all audit findings, remediation efforts, and corrective actions taken, to demonstrate compliance with the New Data Privacy Amendment 2025.</w:t>
        <w:br/>
        <w:br/>
        <w:t>**Third-Party Vendor Certification Policy**</w:t>
        <w:br/>
        <w:br/>
        <w:t>To ensure that our third-party vendors meet the required security standards, we are developing a new policy outlining the certification process for these vendors. All third-party vendors will be required to undergo a rigorous certification process, which will include, but is not limited to, completion of a comprehensive security questionnaire, provision of relevant security certifications (e.g. SOC 2, ISO 27001), and participation in regular security audits and risk assessments. Our institution will also conduct due diligence on all third-party vendors, to ensure that they have implemented adequate security controls and procedures to protect customer data. Vendors that do not meet our certification requirements will not be authorized to access or process customer data, and will be subject to remediation or termination of contract, as necessary. This policy will be reviewed and updated annually, or as required by changes in regulatory requirements or industry best practices.</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03:12</w:t>
        <w:br/>
        <w:t>Pipeline Run: d9d815e0</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