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**Section 1: Data Security Policy Update - End-to-End Encryption**</w:t>
        <w:br/>
        <w:t>Pursuant to the New Data Privacy Amendment 2025, our institution is committed to ensuring the confidentiality, integrity, and availability of customer data. As such, our data security policy has been updated to require end-to-end encryption for all customer data, both in transit and at rest. This means that all electronic customer data, including but not limited to personally identifiable information (PII), financial information, and transactional data, must be encrypted using industry-accepted encryption protocols, such as AES-256, to protect against unauthorized access, disclosure, or tampering. Our information technology department will implement and maintain end-to-end encryption measures, including secure socket layer (SSL)/transport layer security (TLS) protocols, to safeguard customer data throughout our systems, networks, and applications.</w:t>
        <w:br/>
        <w:br/>
        <w:t>**Section 2: Quarterly Security Audits Policy**</w:t>
        <w:br/>
        <w:t>To ensure the ongoing security and integrity of our systems, networks, and data, our institution will conduct quarterly security audits to identify, assess, and mitigate potential vulnerabilities and risks. These audits will be performed by our internal audit team or an independent third-party auditor, and will cover all aspects of our information security program, including but not limited to network security, data encryption, access controls, and incident response planning. The results of these audits will be documented, tracked, and presented to senior management, and will inform our risk management and compliance strategies. Our quarterly security audits will be conducted in accordance with industry-accepted standards and frameworks, such as NIST Cybersecurity Framework and ISO 27001, to ensure the effectiveness of our information security controls and compliance with regulatory requirements.</w:t>
        <w:br/>
        <w:br/>
        <w:t>**Section 3: Third-Party Vendor Certification Policy**</w:t>
        <w:br/>
        <w:t>To ensure that our third-party vendors adhere to our data security and privacy standards, we have established a certification process to assess and validate their compliance with our requirements. This process will involve a thorough review of the vendor's information security policies, procedures, and controls, as well as their compliance with relevant laws, regulations, and industry standards. Vendors will be required to undergo an initial certification process, which will include completion of a security questionnaire, provision of supporting documentation, and participation in an on-site or remote audit. Certification will be valid for a period of one year, after which vendors will be required to undergo recertification to ensure ongoing compliance. Our third-party vendor certification process will be managed by our procurement and information security teams, and will be subject to regular review and update to ensure its effectiveness and alignment with regulatory requirements, including the New Data Privacy Amendment 2025.</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03:13</w:t>
        <w:br/>
        <w:t>Pipeline Run: d3f79258</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