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ComplianceBot — SOP Update</w:t>
      </w:r>
    </w:p>
    <w:p>
      <w:pPr>
        <w:pStyle w:val="Heading1"/>
      </w:pPr>
      <w:r>
        <w:t>New Data Privacy Amendment 2025 - Financial Institutions Must Encrypt Customer Data</w:t>
      </w:r>
    </w:p>
    <w:p>
      <w:r>
        <w:t>⚠️ Compliance Deadline: 2025-03 (-1 days remaining)</w:t>
      </w:r>
    </w:p>
    <w:p>
      <w:pPr>
        <w:pStyle w:val="Heading2"/>
      </w:pPr>
      <w:r>
        <w:t>Gaps Identified</w:t>
      </w:r>
    </w:p>
    <w:p>
      <w:pPr>
        <w:pStyle w:val="ListBullet"/>
      </w:pPr>
      <w:r>
        <w:t>[90% confidence] End-to-end encryption for customer data is not implemented</w:t>
        <w:br/>
        <w:t>Reason: Current policy only recommends encryption at rest, not end-to-end encryption</w:t>
        <w:br/>
        <w:t>Suggested Fix: Update the Data Security Policy to require end-to-end encryption for all customer data</w:t>
      </w:r>
    </w:p>
    <w:p>
      <w:pPr>
        <w:pStyle w:val="ListBullet"/>
      </w:pPr>
      <w:r>
        <w:t>[100% confidence] Quarterly security audits are not conducted</w:t>
        <w:br/>
        <w:t>Reason: There is no mention of security audits in the current policies</w:t>
        <w:br/>
        <w:t>Suggested Fix: Establish a new policy requiring quarterly security audits to be conducted</w:t>
      </w:r>
    </w:p>
    <w:p>
      <w:pPr>
        <w:pStyle w:val="ListBullet"/>
      </w:pPr>
      <w:r>
        <w:t>[100% confidence] Certification process for third-party vendors is not defined</w:t>
        <w:br/>
        <w:t>Reason: There is no mention of certifying third-party vendors in the current policies</w:t>
        <w:br/>
        <w:t>Suggested Fix: Develop a new policy outlining the certification process for third-party vendors</w:t>
      </w:r>
    </w:p>
    <w:p>
      <w:pPr>
        <w:pStyle w:val="Heading2"/>
      </w:pPr>
      <w:r>
        <w:t>Updated SOP Language</w:t>
      </w:r>
    </w:p>
    <w:p>
      <w:r>
        <w:t>**Data Security Policy Update**: In accordance with the New Data Privacy Amendment 2025, our institution is committed to ensuring the confidentiality, integrity, and availability of customer data. As of 2025, all customer data shall be protected using end-to-end encryption, utilizing industry-recognized encryption protocols such as AES-256. This encryption shall be applied to all data in transit and at rest, including but not limited to, customer personally identifiable information (PII), financial account numbers, and transactional data. Our institution shall implement a robust encryption key management system to ensure the secure generation, distribution, and storage of encryption keys.</w:t>
        <w:br/>
        <w:br/>
        <w:t>**Quarterly Security Audit Policy**: To ensure the ongoing security and integrity of our systems and data, our institution shall conduct quarterly security audits. These audits shall be performed by internal or external auditors, as designated by our Chief Information Security Officer (CISO), and shall assess the effectiveness of our security controls, including but not limited to, access controls, network security, and data encryption. The audits shall be conducted in accordance with industry-recognized standards such as NIST SP 800-53 and shall include vulnerability scanning, penetration testing, and configuration compliance checking. The results of these audits shall be documented and presented to our senior management, with recommendations for remediation and improvement.</w:t>
        <w:br/>
        <w:br/>
        <w:t>**Third-Party Vendor Certification Policy**: Our institution recognizes the importance of ensuring that third-party vendors handling customer data meet the same high standards of security and compliance as our institution. To achieve this, we shall establish a certification process for all third-party vendors, which shall include a comprehensive risk assessment, review of security controls, and verification of compliance with relevant regulations such as the New Data Privacy Amendment 2025. Vendors shall be required to provide documentation of their security policies, procedures, and controls, and shall undergo periodic audits and assessments to ensure ongoing compliance. Our institution shall maintain a register of certified vendors and shall only engage with vendors who have successfully completed the certification process.</w:t>
      </w:r>
    </w:p>
    <w:p>
      <w:pPr>
        <w:pStyle w:val="Heading2"/>
      </w:pPr>
      <w:r>
        <w:t>Recent Enforcement Actions</w:t>
      </w:r>
    </w:p>
    <w:p>
      <w:r>
        <w:t>• 2026 Data Privacy Enforcement Trends: What Regulators Are ...: `  2026 Data Privacy Enforcement Trends: What Regulators Are Actually Fining Companies For - Clarip Privacy Blog. Data Risk Intelligence Automated Data Mapping Do Not Sell/Do Not Share Cookie Banner S</w:t>
        <w:br/>
        <w:t xml:space="preserve">• A New Era of US Privacy Enforcement Has Only Just Begun: 2025 Trends and Outlook for 2026 and Beyond | ArentFox Schiff: ## Footer. # A New Era of US Privacy Enforcement Has Only Just Begun: 2025 Trends and Outlook for 2026 and Beyond. This ACR enforcement action was the first since the Federal Trade Commission brought </w:t>
        <w:br/>
        <w:t>• Regulatory Penalties Dropped in ’25, Led by Sharp US Decline | Corporate Compliance Insights: ###### *CCI staff share recent surveys, reports and analysis on risk, compliance, governance, infosec and leadership issues. ## Global fines for AML, KYC and related violations totaled almost $4 billi</w:t>
      </w:r>
    </w:p>
    <w:p>
      <w:pPr>
        <w:pStyle w:val="Heading2"/>
      </w:pPr>
      <w:r>
        <w:t>Audit Information</w:t>
      </w:r>
    </w:p>
    <w:p>
      <w:r>
        <w:t>Generated: 2026-05-16 03:14</w:t>
        <w:br/>
        <w:t>Pipeline Run: 253dad32</w:t>
        <w:br/>
        <w:t>Jurisdiction: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