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ensure compliance</w:t>
      </w:r>
    </w:p>
    <w:p>
      <w:pPr>
        <w:pStyle w:val="ListBullet"/>
      </w:pPr>
      <w:r>
        <w:t>[100% confidence] Certification process for third-party vendors is not defined</w:t>
        <w:br/>
        <w:t>Reason: There is no existing policy or procedure for certifying third-party vendors</w:t>
        <w:br/>
        <w:t>Suggested Fix: Develop and implement a certification process for third-party vendors to ensure timely certification</w:t>
      </w:r>
    </w:p>
    <w:p>
      <w:pPr>
        <w:pStyle w:val="Heading2"/>
      </w:pPr>
      <w:r>
        <w:t>Updated SOP Language</w:t>
      </w:r>
    </w:p>
    <w:p>
      <w:r>
        <w:t>**Data Security Policy Update**</w:t>
        <w:br/>
        <w:t>In accordance with the New Data Privacy Amendment 2025, this institution is committed to protecting the confidentiality, integrity, and availability of customer data. To ensure compliance with the regulation, this policy requires the implementation of end-to-end encryption for all customer data, both in transit and at rest. End-to-end encryption shall be achieved through the use of industry-recognized encryption protocols, such as Transport Layer Security (TLS) and Advanced Encryption Standard (AES). All customer data, including personal identifiable information (PII) and sensitive financial information, shall be encrypted using secure cryptographic keys, which shall be managed and rotated in accordance with industry best practices.</w:t>
        <w:br/>
        <w:br/>
        <w:t>**Quarterly Security Audits**</w:t>
        <w:br/>
        <w:t>To ensure the effectiveness of our data security controls and compliance with the New Data Privacy Amendment 2025, this institution shall conduct quarterly security audits. These audits shall be performed by internal audit teams or external third-party auditors, and shall include a review of encryption protocols, access controls, and data storage procedures. The audits shall also include vulnerability assessments and penetration testing to identify potential security weaknesses. The results of these audits shall be documented and presented to senior management, who shall review and address any findings or recommendations for remediation. The quarterly security audits shall be conducted on the following schedule: January 15th, April 15th, July 15th, and October 15th of each year.</w:t>
        <w:br/>
        <w:br/>
        <w:t>**Third-Party Vendor Certification Process**</w:t>
        <w:br/>
        <w:t>To ensure that third-party vendors handling customer data comply with the New Data Privacy Amendment 2025, this institution shall establish a certification process for all third-party vendors. The certification process shall include a review of the vendor's data security policies and procedures, including their encryption protocols and access controls. Vendors shall be required to provide documentation of their compliance with industry-recognized security standards, such as the Payment Card Industry Data Security Standard (PCI DSS) or the National Institute of Standards and Technology (NIST) Cybersecurity Framework. The certification process shall be completed prior to the vendor being authorized to handle customer data, and shall be repeated annually or upon significant changes to the vendor's data security controls. The certification process shall be managed by the institution's procurement department, in coordination with the information security team.</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03:18</w:t>
        <w:br/>
        <w:t>Pipeline Run: 19b912dd</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