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w:t>
        <w:br/>
        <w:t>As required by the New Data Privacy Amendment 2025, our institution is committed to protecting customer data through the implementation of end-to-end encryption. Effective immediately, all customer data, including personally identifiable information (PII) and sensitive financial information, must be encrypted at all points of transmission and storage. This includes, but is not limited to, data transmitted via email, online portals, and mobile applications. Our institution will utilize industry-recognized encryption protocols, such as AES-256, to ensure the confidentiality, integrity, and authenticity of customer data.</w:t>
        <w:br/>
        <w:br/>
        <w:t>**Quarterly Security Audit Policy**</w:t>
        <w:br/>
        <w:t>To ensure the ongoing security and integrity of our systems and data, our institution will conduct quarterly security audits. These audits will be performed by our internal audit team or an independent third-party auditor, and will include a comprehensive review of our security controls, vulnerability assessments, and penetration testing. The quarterly security audit will evaluate our institution's compliance with relevant regulations, including the New Data Privacy Amendment 2025, and identify areas for improvement. Audit findings and recommendations will be documented and presented to senior management, with corrective actions implemented in a timely and efficient manner.</w:t>
        <w:br/>
        <w:br/>
        <w:t>**Third-Party Vendor Certification Policy**</w:t>
        <w:br/>
        <w:t>Our institution recognizes the importance of ensuring that third-party vendors handling customer data meet the same high standards of security and compliance as our institution. To address this, we have established a certification process for all third-party vendors. Vendors will be required to undergo an annual certification process, which includes a review of their security controls, data encryption protocols, and compliance with relevant regulations. Vendors must provide documentation of their certification, such as SOC 2 reports or equivalent, and must agree to adhere to our institution's data security policies and procedures. Our institution will maintain a list of certified vendors, and only work with vendors who have completed the certification process and meet our security and compliance requirements.</w:t>
      </w:r>
    </w:p>
    <w:p>
      <w:pPr>
        <w:pStyle w:val="Heading2"/>
      </w:pPr>
      <w:r>
        <w:t>Recent Enforcement Actions</w:t>
      </w:r>
    </w:p>
    <w:p>
      <w:r>
        <w:t>• 2026 Data Privacy Enforcement Trends: What Regulators Are ...: `  2026 Data Privacy Enforcement Trends: What Regulators Are Actually Fining Companies For - Clarip Privacy Blog. Data Risk Intelligence Automated Data Mapping Do Not Sell/Do Not Share Cookie Banner S</w:t>
        <w:br/>
        <w:t xml:space="preserve">• A New Era of US Privacy Enforcement Has Only Just Begun: 2025 Trends and Outlook for 2026 and Beyond | ArentFox Schiff: ## Footer. # A New Era of US Privacy Enforcement Has Only Just Begun: 2025 Trends and Outlook for 2026 and Beyond. This ACR enforcement action was the first since the Federal Trade Commission brought </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03:20</w:t>
        <w:br/>
        <w:t>Pipeline Run: c7df3f4b</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