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(NDA 2025 Compliance)**</w:t>
        <w:br/>
        <w:t>As of the effective date of this policy, all customer data collected, stored, and transmitted by our financial institution must be protected through end-to-end encryption. In accordance with the New Data Privacy Amendment 2025, we are committed to implementing robust security measures to safeguard sensitive information. End-to-end encryption will be applied to all customer data, including but not limited to, personally identifiable information (PII), financial account numbers, and transactional data. This encryption will be implemented using industry-recognized standards, such as Advanced Encryption Standard (AES) with a minimum key length of 256 bits.</w:t>
        <w:br/>
        <w:br/>
        <w:t>**Quarterly Security Audit Policy**</w:t>
        <w:br/>
        <w:t>To ensure the integrity and security of our systems and data, we will conduct quarterly security audits to identify and remediate potential vulnerabilities. These audits will be performed by our internal audit team or a designated third-party auditor, and will include a comprehensive review of our network, systems, and applications. The audits will be conducted in accordance with industry-recognized frameworks, such as the National Institute of Standards and Technology (NIST) Cybersecurity Framework. The results of each audit will be documented and presented to senior management, along with recommendations for remediation and implementation of corrective actions. This policy will enable us to proactively identify and address potential security risks, ensuring the confidentiality, integrity, and availability of our systems and customer data.</w:t>
        <w:br/>
        <w:br/>
        <w:t>**Third-Party Vendor Certification Policy**</w:t>
        <w:br/>
        <w:t>To mitigate the risks associated with engaging third-party vendors, we will establish a certification process to ensure that all vendors handling customer data meet our security and compliance requirements. The certification process will include a thorough review of the vendor's security controls, data handling practices, and compliance with relevant regulations, including the New Data Privacy Amendment 2025. Vendors will be required to provide documentation, such as SOC 2 reports, and undergo regular audits to verify their compliance. Our internal risk management team will be responsible for overseeing the certification process, and only certified vendors will be authorized to handle customer data. This policy will help us ensure that our vendors adhere to the same high standards of data security and compliance that we maintain, thereby protecting our customers' sensitive information.</w:t>
      </w:r>
    </w:p>
    <w:p>
      <w:pPr>
        <w:pStyle w:val="Heading2"/>
      </w:pPr>
      <w:r>
        <w:t>Recent Enforcement Actions</w:t>
      </w:r>
    </w:p>
    <w:p>
      <w:r>
        <w:t>• 2026 Data Privacy Enforcement Trends: What Regulators Are ...: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Trends and Outlook for 2026 and Beyond | ArentFox Schiff: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03:26</w:t>
        <w:br/>
        <w:t>Pipeline Run: ea817855</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