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section requiring quarterly security audits</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End-to-End Encryption**</w:t>
        <w:br/>
        <w:t>In accordance with the New Data Privacy Amendment 2025, our institution is committed to protecting customer data by implementing end-to-end encryption for all sensitive information. As of the effective date of this policy, all customer data, including personally identifiable information (PII) and financial data, shall be encrypted using industry-recognized encryption protocols, such as Advanced Encryption Standard (AES) with a minimum key length of 256 bits. This encryption shall be applied to all data in transit and at rest, ensuring that only authorized personnel with the necessary decryption keys can access the data. Our institution shall conduct regular reviews and updates of our encryption protocols to ensure compliance with evolving regulatory requirements and industry best practices.</w:t>
        <w:br/>
        <w:br/>
        <w:t>**Quarterly Security Audit Policy**</w:t>
        <w:br/>
        <w:t>To ensure the confidentiality, integrity, and availability of customer data, our institution shall conduct quarterly security audits to identify and remediate potential vulnerabilities. These audits shall be performed by our internal audit team or an independent third-party auditor, and shall include, but not be limited to, reviews of our encryption protocols, access controls, and incident response procedures. The audit scope shall include all systems, networks, and applications that store, process, or transmit customer data. Audit findings and recommendations shall be documented and presented to our executive management team, and remediation plans shall be developed and implemented to address any identified vulnerabilities. Our institution shall maintain audit records for a minimum of three years, and shall provide these records to regulatory authorities upon request.</w:t>
        <w:br/>
        <w:br/>
        <w:t>**Third-Party Vendor Certification Policy**</w:t>
        <w:br/>
        <w:t>Our institution recognizes the importance of ensuring that third-party vendors handling customer data comply with our data security and privacy requirements. To mitigate potential risks, we shall establish a certification process for all third-party vendors that handle customer data. Vendors shall be required to provide documentation of their compliance with industry-recognized security standards, such as the Payment Card Industry Data Security Standard (PCI DSS) or the International Organization for Standardization (ISO) 27001. Our institution shall conduct annual reviews of vendor certifications and may conduct on-site audits or penetration testing to verify compliance. Vendors that fail to demonstrate compliance shall be subject to remediation plans, and may be terminated if compliance is not achieved within a reasonable timeframe. Our institution shall maintain records of vendor certifications and compliance reviews for a minimum of three years.</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02:38</w:t>
        <w:br/>
        <w:t>Pipeline Run: 12d03cb8</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