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section outlining the certification process for third-party vendors</w:t>
      </w:r>
    </w:p>
    <w:p>
      <w:pPr>
        <w:pStyle w:val="Heading2"/>
      </w:pPr>
      <w:r>
        <w:t>Updated SOP Language</w:t>
      </w:r>
    </w:p>
    <w:p>
      <w:r>
        <w:t>**Data Security Policy Update**</w:t>
        <w:br/>
        <w:t>In accordance with the New Data Privacy Amendment 2025, our financial institution is committed to ensuring the confidentiality, integrity, and availability of customer data. To achieve this, we hereby update our data security policy to require end-to-end encryption for all customer data, both in transit and at rest. This encryption shall be implemented using industry-accepted standards, such as AES-256, and shall be regularly reviewed and updated to ensure its continued effectiveness. All customer data, including but not limited to personally identifiable information (PII), financial information, and transactional data, shall be encrypted using secure protocols, such as TLS 1.2 or higher, to prevent unauthorized access or disclosure.</w:t>
        <w:br/>
        <w:br/>
        <w:t>**Quarterly Security Audits**</w:t>
        <w:br/>
        <w:t>To ensure the ongoing security and integrity of our systems and data, we hereby establish a new policy requiring quarterly security audits. These audits shall be conducted by our internal audit team or an independent third-party auditor, and shall include a review of our data security policies, procedures, and controls. The audits shall also include vulnerability assessments, penetration testing, and compliance checks against relevant regulatory requirements, including the New Data Privacy Amendment 2025. The results of these audits shall be documented and presented to senior management, with recommendations for remediation and improvement. This process shall ensure that our security controls are operating effectively and that we are maintaining a robust security posture to protect customer data.</w:t>
        <w:br/>
        <w:br/>
        <w:t>**Third-Party Vendor Certification Process**</w:t>
        <w:br/>
        <w:t>To mitigate the risks associated with third-party vendors, we hereby establish a certification process for all vendors who handle customer data on our behalf. This process shall include a thorough review of the vendor's data security policies, procedures, and controls, as well as their compliance with relevant regulatory requirements. Vendors shall be required to provide documentation, such as SOC 2 reports or equivalent, to demonstrate their security controls and compliance. Our certification process shall also include regular monitoring and review of vendor performance, as well as contractual requirements for notification in the event of a security incident. This process shall ensure that our third-party vendors are held to the same high standards of data security and compliance as our own organization, and that customer data is protected throughout the entire supply chain.</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02:41</w:t>
        <w:br/>
        <w:t>Pipeline Run: a5e25972</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