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Third-party vendors are not certified</w:t>
        <w:br/>
        <w:t>Reason: There is no mention of certifying third-party vendors in the current policies</w:t>
        <w:br/>
        <w:t>Suggested Fix: Develop a new policy requiring certification of all third-party vendors</w:t>
      </w:r>
    </w:p>
    <w:p>
      <w:pPr>
        <w:pStyle w:val="Heading2"/>
      </w:pPr>
      <w:r>
        <w:t>Updated SOP Language</w:t>
      </w:r>
    </w:p>
    <w:p>
      <w:r>
        <w:t>**Data Security Policy Update (NDA-2025 Compliance)**</w:t>
        <w:br/>
        <w:t>As of 2025, in accordance with the New Data Privacy Amendment 2025, our institution is committed to ensuring the confidentiality, integrity, and availability of customer data. To achieve this, we are updating our data security policy to require end-to-end encryption for all customer data, both in transit and at rest. This encryption will utilize industry-recognized standards, such as AES-256, and will be implemented across all systems, networks, and applications that handle customer data. Our encryption protocols will be regularly reviewed and updated to ensure they remain effective and compliant with regulatory requirements.</w:t>
        <w:br/>
        <w:br/>
        <w:t>**Quarterly Security Audit Policy**</w:t>
        <w:br/>
        <w:t>To further ensure the security and integrity of our systems and customer data, we are establishing a new policy requiring quarterly security audits. These audits will be conducted by our internal audit team or an external third-party auditor, and will assess the effectiveness of our security controls, identify potential vulnerabilities, and evaluate compliance with relevant regulations, including the New Data Privacy Amendment 2025. The audit findings and recommendations will be presented to our Executive Management team, and will inform our ongoing risk management and compliance efforts. Audit schedules and findings will be documented and maintained for a minimum of three years, and will be made available to regulatory authorities upon request.</w:t>
        <w:br/>
        <w:br/>
        <w:t>**Third-Party Vendor Certification Policy**</w:t>
        <w:br/>
        <w:t>In recognition of the potential risks associated with third-party vendors, we are developing a new policy requiring certification of all third-party vendors that handle customer data or provide services to our institution. Our vendor certification program will include a thorough risk assessment, review of the vendor's security controls and policies, and verification of their compliance with relevant regulations, including the New Data Privacy Amendment 2025. Certified vendors will be required to maintain their certification through regular audits and assessments, and will be subject to termination if they fail to maintain compliance with our certification requirements. Our vendor certification program will be overseen by our Procurement and Compliance teams, and will ensure that all third-party vendors meet our stringent security and compliance standards.</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00:54</w:t>
        <w:br/>
        <w:t>Pipeline Run: 3416f951</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