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w:t>
        <w:br/>
        <w:t>As of the effective date of this policy, all customer data shall be protected through the implementation of end-to-end encryption. In compliance with the New Data Privacy Amendment 2025, our institution shall ensure that all personally identifiable information (PII) and sensitive customer data are encrypted at all points of transmission, processing, and storage. This includes, but is not limited to, data transmitted through online portals, mobile applications, and internal systems. The encryption protocol shall be reviewed and updated annually, or as necessary, to ensure alignment with industry standards and regulatory requirements.</w:t>
        <w:br/>
        <w:br/>
        <w:t>**Quarterly Security Audit Policy**</w:t>
        <w:br/>
        <w:t>To ensure the confidentiality, integrity, and availability of customer data, our institution shall conduct comprehensive security audits on a quarterly basis. These audits shall be performed by internal audit teams or independent third-party auditors, and shall include, but not be limited to, evaluations of access controls, network security, and data encryption protocols. The audit findings and recommendations shall be documented and presented to senior management, with corrective action plans implemented to address any identified vulnerabilities or control weaknesses. The quarterly security audit schedule shall be as follows: audits shall be conducted in January, April, July, and October of each year, with reports submitted to senior management within 30 days of audit completion.</w:t>
        <w:br/>
        <w:br/>
        <w:t>**Third-Party Vendor Certification Policy**</w:t>
        <w:br/>
        <w:t>Our institution shall establish a certification process for all third-party vendors who handle customer data or provide services that may impact the security or confidentiality of such data. The certification process shall include, but not be limited to, a thorough review of the vendor's data security controls, encryption protocols, and compliance with applicable regulations, including the New Data Privacy Amendment 2025. Vendors shall be required to provide documentation of their compliance, including SOC 2 reports or equivalent, and shall be subject to annual audits and assessments to ensure ongoing compliance. The certification process shall be managed by our institution's vendor management team, with oversight from the compliance and risk management departments. All certified vendors shall be listed in our institution's approved vendor registry, and shall be subject to termination or remediation in the event of non-compliance with our certification requirements.</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r>
    </w:p>
    <w:p>
      <w:pPr>
        <w:pStyle w:val="Heading2"/>
      </w:pPr>
      <w:r>
        <w:t>Audit Information</w:t>
      </w:r>
    </w:p>
    <w:p>
      <w:r>
        <w:t>Generated: 2026-05-16 01:41</w:t>
        <w:br/>
        <w:t>Pipeline Run: a890e50e</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