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ensure compliance</w:t>
      </w:r>
    </w:p>
    <w:p>
      <w:pPr>
        <w:pStyle w:val="ListBullet"/>
      </w:pPr>
      <w:r>
        <w:t>[100% confidence] Third party vendors are not certified</w:t>
        <w:br/>
        <w:t>Reason: There is no mention of certifying third party vendors in the current policies</w:t>
        <w:br/>
        <w:t>Suggested Fix: Develop a new policy and procedure for certifying third party vendors</w:t>
      </w:r>
    </w:p>
    <w:p>
      <w:pPr>
        <w:pStyle w:val="Heading2"/>
      </w:pPr>
      <w:r>
        <w:t>Updated SOP Language</w:t>
      </w:r>
    </w:p>
    <w:p>
      <w:r>
        <w:t>**Data Security Policy Update**: In accordance with the New Data Privacy Amendment 2025, effective immediately, our organization will implement end-to-end encryption for all customer data. This encryption will be applied to all data in transit and at rest, utilizing industry-recognized standards such as Advanced Encryption Standard (AES) with a minimum key size of 256 bits. All customer data, including but not limited to, personally identifiable information (PII), financial information, and sensitive business data, will be encrypted using secure protocols such as Transport Layer Security (TLS) and Secure Sockets Layer (SSL). This updated policy ensures our organization's compliance with the New Data Privacy Amendment 2025, which mandates the encryption of customer data by financial institutions.</w:t>
        <w:br/>
        <w:br/>
        <w:t>**Quarterly Security Audit Policy**: To ensure ongoing compliance with the New Data Privacy Amendment 2025 and to identify potential security vulnerabilities, our organization will conduct quarterly security audits. These audits will be performed by our internal audit team or an external third-party auditor, and will include a thorough review of our data security controls, encryption protocols, and access procedures. The audit will also assess our compliance with relevant regulations, including the New Data Privacy Amendment 2025, and will identify areas for improvement. The results of the audit will be presented to our executive management team, and any recommended remedial actions will be implemented promptly to ensure the security and integrity of our customer data.</w:t>
        <w:br/>
        <w:br/>
        <w:t>**Third-Party Vendor Certification Policy**: Our organization recognizes the importance of ensuring that all third-party vendors with access to customer data meet the same high standards of data security and compliance as our organization. To address this, we will establish a comprehensive vendor certification program, which will include a thorough review of each vendor's data security controls, encryption protocols, and compliance with relevant regulations. Vendors will be required to provide documentation of their compliance with the New Data Privacy Amendment 2025, as well as their adherence to industry-recognized security standards such as the National Institute of Standards and Technology (NIST) Cybersecurity Framework. Upon successful completion of the certification process, vendors will be authorized to access customer data, and will be subject to regular audits and monitoring to ensure ongoing compliance.</w:t>
      </w:r>
    </w:p>
    <w:p>
      <w:pPr>
        <w:pStyle w:val="Heading2"/>
      </w:pPr>
      <w:r>
        <w:t>Recent Enforcement Actions</w:t>
      </w:r>
    </w:p>
    <w:p>
      <w:r>
        <w:t>• US state privacy fines reached $3.425 billion in 2025 - Help Net Security: # US state privacy fines reached $3.425 billion in 2025. State privacy regulators across the United States collected $3.425 billion in privacy-related fines from companies in 2025. Gartner derived the</w:t>
        <w:b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r>
    </w:p>
    <w:p>
      <w:pPr>
        <w:pStyle w:val="Heading2"/>
      </w:pPr>
      <w:r>
        <w:t>Audit Information</w:t>
      </w:r>
    </w:p>
    <w:p>
      <w:r>
        <w:t>Generated: 2026-05-16 02:08</w:t>
        <w:br/>
        <w:t>Pipeline Run: d603507c</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