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section outlining the certification process for third-party vendors</w:t>
      </w:r>
    </w:p>
    <w:p>
      <w:pPr>
        <w:pStyle w:val="Heading2"/>
      </w:pPr>
      <w:r>
        <w:t>Updated SOP Language</w:t>
      </w:r>
    </w:p>
    <w:p>
      <w:r>
        <w:t>**Data Security Policy Update: End-to-End Encryption**</w:t>
        <w:br/>
        <w:t>As of the effective date of this policy, all customer data in the possession of [Financial Institution Name] must be protected by end-to-end encryption, in compliance with the New Data Privacy Amendment 2025. This requirement applies to all customer data, whether in transit or at rest, and includes but is not limited to personally identifiable information (PII), financial account numbers, and transaction history. To ensure the confidentiality, integrity, and availability of customer data, [Financial Institution Name] will implement a robust encryption protocol that utilizes industry-standard encryption algorithms, such as Advanced Encryption Standard (AES) with a minimum key size of 256 bits.</w:t>
        <w:br/>
        <w:br/>
        <w:t>**Quarterly Security Audit Policy**</w:t>
        <w:br/>
        <w:t>To ensure the continued security and integrity of [Financial Institution Name]'s information systems and customer data, a comprehensive security audit will be conducted on a quarterly basis. These audits will be designed to identify, assess, and mitigate potential security risks and vulnerabilities, and will include but are not limited to: network scanning, vulnerability assessments, penetration testing, and reviews of access controls and system logs. The quarterly security audit will be conducted by the [Financial Institution Name] Information Security Team, in accordance with industry-recognized standards and frameworks, such as the National Institute of Standards and Technology (NIST) Cybersecurity Framework. Audit findings and recommendations will be documented, tracked, and remediated in a timely and efficient manner, to ensure the continued security and compliance of [Financial Institution Name]'s information systems.</w:t>
        <w:br/>
        <w:br/>
        <w:t>**Third-Party Vendor Certification Policy**</w:t>
        <w:br/>
        <w:t>[Financial Institution Name] is committed to ensuring that all third-party vendors who have access to customer data or [Financial Institution Name] information systems meet the highest standards of security and compliance. To achieve this goal, [Financial Institution Name] has established a certification process for third-party vendors, which will be required for all vendors who provide services or products that involve the handling or processing of customer data. The certification process will include but is not limited to: a thorough review of the vendor's information security policies and procedures, a risk assessment of the vendor's systems and controls, and a verification of the vendor's compliance with relevant regulatory requirements, such as the New Data Privacy Amendment 2025. Vendors who fail to meet the certification requirements will be required to remediate any identified deficiencies and undergo recertification prior to being authorized to continue providing services to [Financial Institution Name].</w:t>
      </w:r>
    </w:p>
    <w:p>
      <w:pPr>
        <w:pStyle w:val="Heading2"/>
      </w:pPr>
      <w:r>
        <w:t>Recent Enforcement Actions</w:t>
      </w:r>
    </w:p>
    <w:p>
      <w:r>
        <w:t>• US state privacy fines reached $3.425 billion in 2025 - Help Net Security: # US state privacy fines reached $3.425 billion in 2025. State privacy regulators across the United States collected $3.425 billion in privacy-related fines from companies in 2025. Gartner derived the</w:t>
        <w:br/>
        <w:t xml:space="preserve">• California Privacy Protection Agency Announces 2025 Increases for CCPA Fines and Penalties: # California Privacy Protection Agency Announces 2025 Increases for CCPA Fines and Penalties. In compliance with the California Consumer Privacy Act (CCPA), every other year. the Agency adjusts fines </w:t>
        <w:br/>
        <w:t xml:space="preserve">• A New Era of US Privacy Enforcement Has Only Just Begun: 2025 ...: ## Footer. # A New Era of US Privacy Enforcement Has Only Just Begun: 2025 Trends and Outlook for 2026 and Beyond. This ACR enforcement action was the first since the Federal Trade Commission brought </w:t>
      </w:r>
    </w:p>
    <w:p>
      <w:pPr>
        <w:pStyle w:val="Heading2"/>
      </w:pPr>
      <w:r>
        <w:t>Audit Information</w:t>
      </w:r>
    </w:p>
    <w:p>
      <w:r>
        <w:t>Generated: 2026-05-16 02:11</w:t>
        <w:br/>
        <w:t>Pipeline Run: b319daaf</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