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regular security audits in the current policies</w:t>
        <w:br/>
        <w:t>Suggested Fix: Establish a new policy requiring quarterly security audits to be conducted and documented</w:t>
      </w:r>
    </w:p>
    <w:p>
      <w:pPr>
        <w:pStyle w:val="ListBullet"/>
      </w:pPr>
      <w:r>
        <w:t>[100% confidence] Third-party vendors are not certified within 60 days</w:t>
        <w:br/>
        <w:t>Reason: There is no mention of certifying third-party vendors in the current policies</w:t>
        <w:br/>
        <w:t>Suggested Fix: Develop a new policy and procedure for certifying third-party vendors within the required timeframe</w:t>
      </w:r>
    </w:p>
    <w:p>
      <w:pPr>
        <w:pStyle w:val="Heading2"/>
      </w:pPr>
      <w:r>
        <w:t>Updated SOP Language</w:t>
      </w:r>
    </w:p>
    <w:p>
      <w:r>
        <w:t>**Data Security Policy Update (Section 3.1)**: In accordance with the New Data Privacy Amendment 2025, our institution is committed to ensuring the confidentiality, integrity, and availability of customer data. To achieve this, we hereby require the implementation of end-to-end encryption for all customer data, both in transit and at rest. This encryption will utilize industry-recognized standards, such as Advanced Encryption Standard (AES) with a minimum key length of 256 bits. All customer data, including personally identifiable information (PII) and sensitive financial information, will be encrypted using secure protocols, such as Transport Layer Security (TLS) version 1.3 or higher. This policy applies to all customer data, regardless of the storage medium or transmission method, and will be enforced through regular monitoring and audits.</w:t>
        <w:br/>
        <w:br/>
        <w:t>**Security Audit Policy (Section 4.2)**: To ensure the ongoing security and integrity of our systems and data, we will conduct quarterly security audits, as mandated by the New Data Privacy Amendment 2025. These audits will be performed by our internal audit team or an external third-party auditor, and will assess the effectiveness of our security controls, including encryption, access controls, and incident response procedures. The audit will include, but not be limited to, a review of system logs, network configurations, and data storage practices. The results of these audits will be documented and presented to senior management, with recommendations for remediation and improvement. The audit schedule will be as follows: Q1 (January-March), Q2 (April-June), Q3 (July-September), and Q4 (October-December), with each audit commencing on the first day of the quarter and completing within 30 days.</w:t>
        <w:br/>
        <w:br/>
        <w:t>**Third-Party Vendor Certification Policy (Section 5.3)**: In compliance with the New Data Privacy Amendment 2025, we require all third-party vendors to be certified within 60 days of engagement. To facilitate this process, we will establish a vendor certification program, which will assess the vendor's security controls, data handling practices, and compliance with relevant regulations. The certification process will include a thorough review of the vendor's security policies, procedures, and documentation, as well as an on-site audit or remote assessment, as deemed necessary. Vendors will be required to provide evidence of their compliance with industry-recognized security standards, such as the National Institute of Standards and Technology (NIST) Cybersecurity Framework. Upon successful certification, vendors will be authorized to access our systems and handle customer data, and will be subject to regular monitoring and reassessment to ensure ongoing compliance.</w:t>
      </w:r>
    </w:p>
    <w:p>
      <w:pPr>
        <w:pStyle w:val="Heading2"/>
      </w:pPr>
      <w:r>
        <w:t>Recent Enforcement Actions</w:t>
      </w:r>
    </w:p>
    <w:p>
      <w:r>
        <w:t xml:space="preserve">• California Privacy Protection Agency Announces 2025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02:12</w:t>
        <w:br/>
        <w:t>Pipeline Run: cfefa865</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