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 party vendors is not defined</w:t>
        <w:br/>
        <w:t>Reason: There is no mention of certifying third party vendors in the current policies</w:t>
        <w:br/>
        <w:t>Suggested Fix: Develop a new policy outlining the certification process for third party vendors</w:t>
      </w:r>
    </w:p>
    <w:p>
      <w:pPr>
        <w:pStyle w:val="Heading2"/>
      </w:pPr>
      <w:r>
        <w:t>Updated SOP Language</w:t>
      </w:r>
    </w:p>
    <w:p>
      <w:r>
        <w:t>**Data Security Policy Update (Section 3.1)**: In accordance with the New Data Privacy Amendment 2025, all customer data must be protected through the implementation of end-to-end encryption. As of the effective date of this policy, all financial institutions must ensure that customer data is encrypted at all points of transmission, storage, and processing. This includes, but is not limited to, data transmitted via online portals, mobile applications, and internal networks. The encryption protocols utilized must adhere to industry-recognized standards, such as Advanced Encryption Standard (AES) with a minimum key length of 256 bits. All existing customer data must be retroactively encrypted within a timeframe of six months from the effective date of this policy.</w:t>
        <w:br/>
        <w:br/>
        <w:t>**Quarterly Security Audit Policy (Section 4.2)**: To ensure the confidentiality, integrity, and availability of customer data, quarterly security audits must be conducted to identify and mitigate potential vulnerabilities. These audits will be performed by the institution's internal audit team or an independent third-party auditor, and will include a thorough review of the institution's data security controls, encryption protocols, and incident response plans. The audits will be conducted on a quarterly basis, with the first audit to be completed within 30 days of the end of each calendar quarter. The audit reports will be submitted to the institution's management and the Board of Directors, and will include recommendations for remediation of any identified vulnerabilities.</w:t>
        <w:br/>
        <w:br/>
        <w:t>**Third-Party Vendor Certification Policy (Section 5.3)**: To ensure that third-party vendors handling customer data meet the required security standards, a certification process has been established. All third-party vendors must undergo an annual certification process, which includes a thorough review of their data security controls, encryption protocols, and incident response plans. The certification process will be conducted by the institution's internal audit team or an independent third-party auditor, and will include a review of the vendor's compliance with industry-recognized standards, such as the Payment Card Industry Data Security Standard (PCI DSS) and the National Institute of Standards and Technology (NIST) Cybersecurity Framework. Vendors that fail to meet the certification requirements will be subject to remediation plans and potential termination of contract. The certification process will be outlined in a separate document, titled "Third-Party Vendor Certification Procedure," which will be maintained and updated by the institution's compliance department.</w:t>
      </w:r>
    </w:p>
    <w:p>
      <w:pPr>
        <w:pStyle w:val="Heading2"/>
      </w:pPr>
      <w:r>
        <w:t>Recent Enforcement Actions</w:t>
      </w:r>
    </w:p>
    <w:p>
      <w:r>
        <w:t xml:space="preserve">• California Privacy Protection Agency Announces 2025 ...: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02:13</w:t>
        <w:br/>
        <w:t>Pipeline Run: d41f0c52</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