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w:t>
      </w:r>
    </w:p>
    <w:p>
      <w:pPr>
        <w:pStyle w:val="ListBullet"/>
      </w:pPr>
      <w:r>
        <w:t>[100% confidence] Certification process for third party vendors is not defined</w:t>
        <w:br/>
        <w:t>Reason: There is no mention of certifying third party vendors in the current policies</w:t>
        <w:br/>
        <w:t>Suggested Fix: Develop a new policy outlining the certification process for third party vendors</w:t>
      </w:r>
    </w:p>
    <w:p>
      <w:pPr>
        <w:pStyle w:val="Heading2"/>
      </w:pPr>
      <w:r>
        <w:t>Updated SOP Language</w:t>
      </w:r>
    </w:p>
    <w:p>
      <w:r>
        <w:t>**Data Security Policy Update: Encryption of Customer Data**</w:t>
        <w:br/>
        <w:br/>
        <w:t>In accordance with the New Data Privacy Amendment 2025, our institution is committed to protecting the confidentiality, integrity, and availability of customer data. To ensure compliance with this regulation, we hereby update our Data Security Policy to require end-to-end encryption for all customer data, both in transit and at rest. This encryption shall be implemented using industry-recognized encryption protocols, such as TLS 1.3 or AES-256, to ensure the secure transmission and storage of sensitive customer information. All departments and personnel handling customer data shall adhere to this encryption requirement, and regular monitoring shall be conducted to ensure ongoing compliance.</w:t>
        <w:br/>
        <w:br/>
        <w:t>**Quarterly Security Audit Policy**</w:t>
        <w:br/>
        <w:br/>
        <w:t>To mitigate potential security risks and ensure the confidentiality, integrity, and availability of customer data, our institution shall conduct quarterly security audits. These audits shall be performed by our internal audit team or an independent third-party auditor, and shall include a comprehensive review of our information security controls, including but not limited to, network security, access controls, and data encryption. The audit shall be conducted in accordance with recognized industry standards, such as NIST SP 800-53 or ISO 27001, and shall identify areas for improvement and recommendations for remediation. The results of each audit shall be documented and presented to senior management, who shall review and implement corrective actions as necessary to ensure the security and integrity of our systems and customer data.</w:t>
        <w:br/>
        <w:br/>
        <w:t>**Third-Party Vendor Certification Policy**</w:t>
        <w:br/>
        <w:br/>
        <w:t>To ensure the security and integrity of customer data shared with third-party vendors, our institution shall establish a certification process for all vendors handling sensitive information. This process shall include a thorough review of the vendor's information security controls, including their data encryption protocols, access controls, and incident response plans. Vendors shall be required to provide documentation of their compliance with industry-recognized security standards, such as SSAE 16 or ISO 27001, and shall undergo regular audits and assessments to ensure ongoing compliance. Our institution shall maintain a list of certified vendors, and all vendor contracts shall include provisions requiring adherence to our data security and privacy policies. The certification process shall be overseen by our Vendor Management Office, who shall ensure that all vendors comply with our security and privacy requirements.</w:t>
      </w:r>
    </w:p>
    <w:p>
      <w:pPr>
        <w:pStyle w:val="Heading2"/>
      </w:pPr>
      <w:r>
        <w:t>Recent Enforcement Actions</w:t>
      </w:r>
    </w:p>
    <w:p>
      <w:r>
        <w:t xml:space="preserve">• California Privacy Protection Agency Announces 2025 ...: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02:27</w:t>
        <w:br/>
        <w:t>Pipeline Run: b6c86ecd</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