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ComplianceBot — SOP Update</w:t>
      </w:r>
    </w:p>
    <w:p>
      <w:pPr>
        <w:pStyle w:val="Heading1"/>
      </w:pPr>
      <w:r>
        <w:t>New Data Privacy Amendment 2025 - Financial Institutions Must Encrypt Customer Data</w:t>
      </w:r>
    </w:p>
    <w:p>
      <w:r>
        <w:t>⚠️ Compliance Deadline: 2025-03 (-1 days remaining)</w:t>
      </w:r>
    </w:p>
    <w:p>
      <w:pPr>
        <w:pStyle w:val="Heading2"/>
      </w:pPr>
      <w:r>
        <w:t>Gaps Identified</w:t>
      </w:r>
    </w:p>
    <w:p>
      <w:pPr>
        <w:pStyle w:val="ListBullet"/>
      </w:pPr>
      <w:r>
        <w:t>[80% confidence] End-to-end encryption for customer data is not implemented</w:t>
        <w:br/>
        <w:t>Reason: Current policy only mentions encryption in general terms, without specifying end-to-end encryption</w:t>
        <w:br/>
        <w:t>Suggested Fix: Update the Data Protection Policy to explicitly require end-to-end encryption for customer data</w:t>
      </w:r>
    </w:p>
    <w:p>
      <w:pPr>
        <w:pStyle w:val="ListBullet"/>
      </w:pPr>
      <w:r>
        <w:t>[90% confidence] Quarterly security audits are not conducted</w:t>
        <w:br/>
        <w:t>Reason: Current policy does not mention quarterly security audits, only annual audits</w:t>
        <w:br/>
        <w:t>Suggested Fix: Update the Information Security Policy to require quarterly security audits</w:t>
      </w:r>
    </w:p>
    <w:p>
      <w:pPr>
        <w:pStyle w:val="ListBullet"/>
      </w:pPr>
      <w:r>
        <w:t>[70% confidence] Third-party vendors are not certified within 60 days</w:t>
        <w:br/>
        <w:t>Reason: Current policy mentions certification, but does not specify a timeframe</w:t>
        <w:br/>
        <w:t>Suggested Fix: Update the Vendor Management Policy to require certification of third-party vendors within 60 days</w:t>
      </w:r>
    </w:p>
    <w:p>
      <w:pPr>
        <w:pStyle w:val="Heading2"/>
      </w:pPr>
      <w:r>
        <w:t>Updated SOP Language</w:t>
      </w:r>
    </w:p>
    <w:p>
      <w:r>
        <w:t>**Data Protection Policy Update**</w:t>
        <w:br/>
        <w:t>As of the effective date of this policy update, all customer data collected, stored, and transmitted by our financial institution must be protected through end-to-end encryption. In accordance with the New Data Privacy Amendment 2025, we are committed to ensuring the confidentiality, integrity, and availability of sensitive customer information. End-to-end encryption will be implemented using industry-recognized encryption protocols, such as Transport Layer Security (TLS) and Advanced Encryption Standard (AES), to safeguard customer data against unauthorized access, disclosure, or tampering. Our information technology department will be responsible for implementing and maintaining the encryption solutions, and will conduct regular reviews to ensure the continued effectiveness of these measures.</w:t>
        <w:br/>
        <w:br/>
        <w:t>**Information Security Policy Update**</w:t>
        <w:br/>
        <w:t>To further strengthen our information security posture, our financial institution will conduct quarterly security audits to identify, assess, and mitigate potential risks to our information systems and customer data. These audits will be performed by our internal audit team or external third-party security experts, and will include reviews of our network architecture, system configurations, access controls, and incident response plans. The results of these audits will be documented and presented to our senior management team, who will be responsible for implementing recommended corrective actions and ensuring that all identified vulnerabilities are remediated in a timely and effective manner. Our quarterly security audits will be performed in accordance with industry-recognized standards and frameworks, such as the National Institute of Standards and Technology (NIST) Cybersecurity Framework.</w:t>
        <w:br/>
        <w:br/>
        <w:t>**Vendor Management Policy Update**</w:t>
        <w:br/>
        <w:t>Our financial institution recognizes the importance of ensuring that our third-party vendors adhere to the same high standards of data protection and information security as our own organization. Therefore, we will require all third-party vendors to obtain certification within 60 days of contracting with our institution. This certification will involve a thorough review of the vendor's information security controls, data protection practices, and compliance with relevant regulatory requirements, including the New Data Privacy Amendment 2025. Our vendor management team will be responsible for monitoring and enforcing vendor compliance with these requirements, and will work closely with our information technology and audit teams to ensure that all vendor relationships are properly assessed and managed. By requiring certification of our third-party vendors, we can help ensure the security and integrity of our customer data and maintain the trust and confidence of our customers.</w:t>
      </w:r>
    </w:p>
    <w:p>
      <w:pPr>
        <w:pStyle w:val="Heading2"/>
      </w:pPr>
      <w:r>
        <w:t>Recent Enforcement Actions</w:t>
      </w:r>
    </w:p>
    <w:p>
      <w:r>
        <w:t>• US state privacy fines reached $3.425 billion in 2025 - Help Net Security: # US state privacy fines reached $3.425 billion in 2025. State privacy regulators across the United States collected $3.425 billion in privacy-related fines from companies in 2025. Gartner derived the</w:t>
        <w:br/>
        <w:t xml:space="preserve">• Enforcement Actions | FinCEN.gov: | [In the Matter of Gyanendra Kumar Asre](/system/files/enforcement_action/2024-01-31/FinCEN_Consent_Order_2024-01_FINAL508.pdf) |  | 2024-01 | Depository Institutions, Money Services Businesses |. | </w:t>
        <w:br/>
        <w:t xml:space="preserve">• California Privacy Protection Agency Announces 2025 Increases for ...: # California Privacy Protection Agency Announces 2025 Increases for CCPA Fines and Penalties. In compliance with the California Consumer Privacy Act (CCPA), every other year. the Agency adjusts fines </w:t>
      </w:r>
    </w:p>
    <w:p>
      <w:pPr>
        <w:pStyle w:val="Heading2"/>
      </w:pPr>
      <w:r>
        <w:t>Audit Information</w:t>
      </w:r>
    </w:p>
    <w:p>
      <w:r>
        <w:t>Generated: 2026-05-16 00:17</w:t>
        <w:br/>
        <w:t>Pipeline Run: b45d986e</w:t>
        <w:br/>
        <w:t>Jurisdiction: 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