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regular security audits in the current policies</w:t>
        <w:br/>
        <w:t>Suggested Fix: Establish a new policy section requiring quarterly security audits</w:t>
      </w:r>
    </w:p>
    <w:p>
      <w:pPr>
        <w:pStyle w:val="ListBullet"/>
      </w:pPr>
      <w:r>
        <w:t>[100% confidence] Third-party vendors are not certified within 60 days</w:t>
        <w:br/>
        <w:t>Reason: There is no mention of certifying third-party vendors in the current policies</w:t>
        <w:br/>
        <w:t>Suggested Fix: Develop a new policy for certifying third-party vendors within the required timeframe</w:t>
      </w:r>
    </w:p>
    <w:p>
      <w:pPr>
        <w:pStyle w:val="Heading2"/>
      </w:pPr>
      <w:r>
        <w:t>Updated SOP Language</w:t>
      </w:r>
    </w:p>
    <w:p>
      <w:r>
        <w:t>**Data Security Policy Update**</w:t>
        <w:br/>
        <w:t>In compliance with the New Data Privacy Amendment 2025, our institution is committed to protecting customer data through end-to-end encryption. As of the effective date of this policy, all customer data, including personally identifiable information (PII) and sensitive financial information, must be encrypted using industry-standard encryption protocols, such as Transport Layer Security (TLS) or Advanced Encryption Standard (AES). This encryption must be implemented at all points of data transmission, storage, and processing, ensuring that customer data remains confidential and secure. Our information security team will be responsible for implementing and maintaining the encryption protocols, and will conduct regular reviews to ensure ongoing compliance with the New Data Privacy Amendment 2025.</w:t>
        <w:br/>
        <w:br/>
        <w:t>**Quarterly Security Audit Policy**</w:t>
        <w:br/>
        <w:t>To ensure the continued security and integrity of our customer data, our institution will conduct quarterly security audits to identify and address potential vulnerabilities. These audits will be performed by our internal audit team or an independent third-party auditor, and will include a comprehensive review of our data security controls, network infrastructure, and compliance with relevant regulations, including the New Data Privacy Amendment 2025. The audits will be conducted on a quarterly basis, with the first audit to be completed by March 31, 2025, and subsequent audits to be completed by the end of each quarter thereafter. The results of each audit will be documented and presented to our Executive Committee, along with recommendations for remediation of any identified vulnerabilities.</w:t>
        <w:br/>
        <w:br/>
        <w:t>**Third-Party Vendor Certification Policy**</w:t>
        <w:br/>
        <w:t>Our institution recognizes the importance of ensuring that third-party vendors handling customer data are certified and compliant with relevant regulations. To address this, we will establish a new policy requiring the certification of all third-party vendors within 60 days of engagement. Our procurement team will be responsible for ensuring that all third-party vendors are certified to the required standards, including compliance with the New Data Privacy Amendment 2025. The certification process will include a thorough review of the vendor's data security controls, encryption protocols, and compliance with relevant regulations. Vendors who fail to meet the certification requirements within the specified timeframe will be subject to remediation plans, and may be terminated if compliance cannot be achieved. Our vendor management team will maintain a record of all certified vendors, and will conduct regular reviews to ensure ongoing compliance.</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Enforcement Actions | FinCEN.gov: | [In the Matter of Gyanendra Kumar Asre](/system/files/enforcement_action/2024-01-31/FinCEN_Consent_Order_2024-01_FINAL508.pdf) |  | 2024-01 | Depository Institutions, Money Services Businesses |. | </w:t>
        <w:b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r>
    </w:p>
    <w:p>
      <w:pPr>
        <w:pStyle w:val="Heading2"/>
      </w:pPr>
      <w:r>
        <w:t>Audit Information</w:t>
      </w:r>
    </w:p>
    <w:p>
      <w:r>
        <w:t>Generated: 2026-05-16 00:35</w:t>
        <w:br/>
        <w:t>Pipeline Run: 7112eab5</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