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be conducted</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**Data Security Policy Update**: In accordance with the New Data Privacy Amendment 2025, our institution is committed to ensuring the confidentiality, integrity, and availability of customer data. To achieve this, we hereby update our Data Security Policy to require end-to-end encryption for all customer data, both in transit and at rest. This encryption shall be implemented using industry-recognized standards, such as Advanced Encryption Standard (AES) with a minimum key size of 256 bits. All customer data, including but not limited to, personally identifiable information (PII), financial information, and transactional data, shall be encrypted using secure protocols, such as Transport Layer Security (TLS) or Secure Sockets Layer (SSL).</w:t>
        <w:br/>
        <w:br/>
        <w:t>**Quarterly Security Audit Policy**: To ensure the ongoing security and integrity of our systems and data, we hereby establish a new policy requiring quarterly security audits to be conducted. These audits shall be performed by our internal audit team or an independent third-party auditor, and shall include, but not be limited to, vulnerability assessments, penetration testing, and compliance reviews. The audits shall be conducted in accordance with industry-recognized standards, such as the National Institute of Standards and Technology (NIST) Cybersecurity Framework. The results of these audits shall be documented and presented to our senior management and board of directors, and shall include recommendations for remediation of any identified vulnerabilities or control weaknesses.</w:t>
        <w:br/>
        <w:br/>
        <w:t>**Third-Party Vendor Certification Policy**: To mitigate the risks associated with third-party vendors, we hereby develop a new policy outlining the certification process for these vendors. All third-party vendors who have access to customer data or our systems shall be required to undergo a certification process, which shall include, but not limited to, a thorough review of their security controls, compliance with industry-recognized standards, such as the Payment Card Industry Data Security Standard (PCI DSS), and adherence to our institution's security policies and procedures. The certification process shall be conducted annually, or as otherwise required by regulatory requirements or contractual agreements. Vendors who fail to meet our certification requirements shall be subject to remediation plans or termination of their contract, as deemed necessary to protect our customers' data and our institution's interests.</w:t>
      </w:r>
    </w:p>
    <w:p>
      <w:pPr>
        <w:pStyle w:val="Heading2"/>
      </w:pPr>
      <w:r>
        <w:t>Recent Enforcement Actions</w:t>
      </w:r>
    </w:p>
    <w:p>
      <w:r>
        <w:t>• US state privacy fines reached $3.425 billion in 2025 - Help Net Security: # US state privacy fines reached $3.425 billion in 2025. State privacy regulators across the United States collected $3.425 billion in privacy-related fines from companies in 2025. Gartner derived the</w:t>
        <w:br/>
        <w:t xml:space="preserve">• Enforcement Actions | FinCEN.gov: | [In the Matter of Gyanendra Kumar Asre](/system/files/enforcement_action/2024-01-31/FinCEN_Consent_Order_2024-01_FINAL508.pdf) |  | 2024-01 | Depository Institutions, Money Services Businesses |. | </w:t>
        <w:br/>
        <w:t xml:space="preserve">• California Privacy Protection Agency Announces 2025 Increases for ...: # California Privacy Protection Agency Announces 2025 Increases for CCPA Fines and Penalties. In compliance with the California Consumer Privacy Act (CCPA), every other year. the Agency adjusts fines </w:t>
      </w:r>
    </w:p>
    <w:p>
      <w:pPr>
        <w:pStyle w:val="Heading2"/>
      </w:pPr>
      <w:r>
        <w:t>Audit Information</w:t>
      </w:r>
    </w:p>
    <w:p>
      <w:r>
        <w:t>Generated: 2026-05-16 00:42</w:t>
        <w:br/>
        <w:t>Pipeline Run: 9300ffb6</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