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ensure compliance</w:t>
      </w:r>
    </w:p>
    <w:p>
      <w:pPr>
        <w:pStyle w:val="ListBullet"/>
      </w:pPr>
      <w:r>
        <w:t>[100% confidence] Certification process for third-party vendors is not defined</w:t>
        <w:br/>
        <w:t>Reason: There is no existing policy or procedure for certifying third-party vendors</w:t>
        <w:br/>
        <w:t>Suggested Fix: Develop and implement a certification process for third-party vendors to ensure timely compliance</w:t>
      </w:r>
    </w:p>
    <w:p>
      <w:pPr>
        <w:pStyle w:val="Heading2"/>
      </w:pPr>
      <w:r>
        <w:t>Updated SOP Language</w:t>
      </w:r>
    </w:p>
    <w:p>
      <w:r>
        <w:t>**Data Security Policy Update**: In accordance with the New Data Privacy Amendment 2025, our institution is committed to protecting customer data through the implementation of end-to-end encryption. As of the effective date of this policy, all customer data, whether in transit or at rest, must be encrypted using industry-recognized encryption protocols, such as Advanced Encryption Standard (AES) with a minimum key length of 256 bits. This requirement applies to all systems, networks, and applications that handle customer data, including but not limited to, online banking platforms, mobile applications, and data storage facilities. Our institution will utilize a secure key management system to generate, distribute, and store encryption keys, ensuring that only authorized personnel have access to decrypted data.</w:t>
        <w:br/>
        <w:br/>
        <w:t>**Quarterly Security Audit Policy**: To ensure ongoing compliance with the New Data Privacy Amendment 2025, our institution will conduct quarterly security audits to assess the effectiveness of our data security controls. These audits will be performed by our internal audit team or an independent third-party auditor, and will include a review of our encryption protocols, access controls, and data storage practices. The audit will also evaluate our compliance with relevant regulatory requirements, including the Gramm-Leach-Bliley Act (GLBA) and the Payment Card Industry Data Security Standard (PCI DSS). Audit findings and recommendations will be documented and presented to senior management, with corrective actions implemented to address any identified deficiencies. The quarterly security audit schedule will be as follows: March 31st, June 30th, September 30th, and December 31st of each year.</w:t>
        <w:br/>
        <w:br/>
        <w:t>**Third-Party Vendor Certification Policy**: Our institution recognizes the importance of ensuring that third-party vendors handling customer data comply with the New Data Privacy Amendment 2025. To mitigate this risk, we will establish a certification process for all third-party vendors that handle customer data. Vendors will be required to provide annual certification of their compliance with our data security standards, including the use of end-to-end encryption and adherence to industry-recognized security protocols. The certification process will include a review of the vendor's security policies, procedures, and controls, as well as an on-site audit or remote assessment of their systems and facilities. Vendors that fail to comply with our certification requirements will be subject to termination of their contract or agreement. Our institution will maintain a list of approved vendors that have completed the certification process, and will review and update this list on a regular basis to ensure ongoing compliance.</w:t>
      </w:r>
    </w:p>
    <w:p>
      <w:pPr>
        <w:pStyle w:val="Heading2"/>
      </w:pPr>
      <w:r>
        <w:t>Recent Enforcement Actions</w:t>
      </w:r>
    </w:p>
    <w:p>
      <w:r>
        <w:t>• US state privacy fines reached $3.425 billion in 2025 - Help Net Security: # US state privacy fines reached $3.425 billion in 2025. State privacy regulators across the United States collected $3.425 billion in privacy-related fines from companies in 2025. Gartner derived the</w:t>
        <w:br/>
        <w:t xml:space="preserve">• Enforcement Actions | FinCEN.gov: | [In the Matter of Gyanendra Kumar Asre](/system/files/enforcement_action/2024-01-31/FinCEN_Consent_Order_2024-01_FINAL508.pdf) |  | 2024-01 | Depository Institutions, Money Services Businesses |. | </w:t>
        <w:br/>
        <w:t xml:space="preserve">• California Privacy Protection Agency Announces 2025 Increases for ...: # California Privacy Protection Agency Announces 2025 Increases for CCPA Fines and Penalties. In compliance with the California Consumer Privacy Act (CCPA), every other year. the Agency adjusts fines </w:t>
      </w:r>
    </w:p>
    <w:p>
      <w:pPr>
        <w:pStyle w:val="Heading2"/>
      </w:pPr>
      <w:r>
        <w:t>Audit Information</w:t>
      </w:r>
    </w:p>
    <w:p>
      <w:r>
        <w:t>Generated: 2026-05-16 00:44</w:t>
        <w:br/>
        <w:t>Pipeline Run: a654f019</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