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End-to-End Encryption**</w:t>
        <w:br/>
        <w:t>In accordance with the New Data Privacy Amendment 2025, our financial institution is committed to protecting customer data through the implementation of end-to-end encryption. As of the effective date of this policy, all customer data, including but not limited to personally identifiable information (PII), financial information, and transactional data, must be encrypted using industry-recognized encryption protocols, such as Advanced Encryption Standard (AES) or Transport Layer Security (TLS). This encryption must be applied to all data in transit and at rest, ensuring that only authorized personnel with the necessary decryption keys can access the data. Our institution will utilize secure key management practices to generate, distribute, and store encryption keys, and will regularly review and update our encryption protocols to ensure ongoing compliance with relevant regulations and industry standards.</w:t>
        <w:br/>
        <w:br/>
        <w:t>**Quarterly Security Audit Policy**</w:t>
        <w:br/>
        <w:t>To ensure the confidentiality, integrity, and availability of customer data, our financial institution will conduct quarterly security audits to identify and mitigate potential security risks. These audits will be performed by our internal audit team or a designated third-party auditor, and will include a thorough review of our data security controls, network architecture, and system vulnerabilities. The audit will also assess our compliance with relevant regulations, including the New Data Privacy Amendment 2025, and identify areas for improvement. The results of each audit will be documented and presented to senior management, who will be responsible for implementing recommended corrective actions and ensuring that all security vulnerabilities are addressed in a timely and effective manner. Our institution will maintain a record of all audit findings and corrective actions, and will make these records available to regulatory authorities upon request.</w:t>
        <w:br/>
        <w:br/>
        <w:t>**Third-Party Vendor Certification Policy**</w:t>
        <w:br/>
        <w:t>To ensure that our third-party vendors adhere to the same high standards of data security and privacy as our institution, we have established a certification process for all vendors who will have access to customer data. This process will include a thorough review of the vendor's data security controls, including their encryption protocols, access controls, and incident response plans. Vendors will be required to provide documentation of their compliance with relevant regulations, including the New Data Privacy Amendment 2025, and to undergo regular security audits and risk assessments. Our institution will maintain a list of approved vendors who have completed the certification process, and will only engage with vendors who have demonstrated a commitment to protecting customer data. The certification process will be reviewed and updated annually, or as needed, to ensure ongoing compliance with changing regulatory requirements and industry standards.</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Enforcement Actions | FinCEN.gov: | [In the Matter of Gyanendra Kumar Asre](/system/files/enforcement_action/2024-01-31/FinCEN_Consent_Order_2024-01_FINAL508.pdf) |  | 2024-01 | Depository Institutions, Money Services Businesses |. | </w:t>
        <w:b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r>
    </w:p>
    <w:p>
      <w:pPr>
        <w:pStyle w:val="Heading2"/>
      </w:pPr>
      <w:r>
        <w:t>Audit Information</w:t>
      </w:r>
    </w:p>
    <w:p>
      <w:r>
        <w:t>Generated: 2026-05-16 00:45</w:t>
        <w:br/>
        <w:t>Pipeline Run: 2ee81051</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