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 In accordance with the New Data Privacy Amendment 2025, our institution is committed to safeguarding customer data through robust encryption measures. As of the effective date of this policy, all customer data shall be protected using end-to-end encryption, utilizing industry-recognized encryption protocols such as AES-256. This encryption shall be applied to all data in transit and at rest, ensuring the confidentiality, integrity, and availability of sensitive customer information. Our Information Security Team shall be responsible for implementing and maintaining this encryption framework, conducting regular reviews to ensure compliance with relevant regulatory requirements and industry standards.</w:t>
        <w:br/>
        <w:br/>
        <w:t>**Quarterly Security Audit Policy**: To ensure the ongoing security and integrity of our systems and data, we shall conduct quarterly security audits to identify and remediate potential vulnerabilities. These audits shall be performed by our internal audit team or a designated third-party auditor, and shall include a thorough review of our network architecture, data storage, and transmission protocols. The audit shall also assess our compliance with relevant regulatory requirements, including the New Data Privacy Amendment 2025. The results of each audit shall be documented and presented to senior management, with recommendations for remediation and implementation of corrective actions. This policy shall be reviewed and updated annually, or as necessary, to ensure ongoing compliance with evolving regulatory requirements and industry standards.</w:t>
        <w:br/>
        <w:br/>
        <w:t>**Third-Party Vendor Certification Policy**: To mitigate potential risks associated with third-party vendors, our institution shall establish a certification process to ensure that all vendors handling customer data meet our stringent security and compliance requirements. This certification process shall include a thorough review of the vendor's data security protocols, including their encryption methods, access controls, and incident response plans. Vendors shall be required to provide documentation of their compliance with relevant regulatory requirements, including the New Data Privacy Amendment 2025, and shall undergo regular audits to ensure ongoing compliance. Our Procurement Team shall be responsible for managing this certification process, in collaboration with our Information Security Team, to ensure that all third-party vendors meet our high standards for data security and compliance.</w:t>
      </w:r>
    </w:p>
    <w:p>
      <w:pPr>
        <w:pStyle w:val="Heading2"/>
      </w:pPr>
      <w:r>
        <w:t>Recent Enforcement Actions</w:t>
      </w:r>
    </w:p>
    <w:p>
      <w: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br/>
        <w:t xml:space="preserve">• Enforcement Actions | FinCEN.gov: | [In the Matter of Gyanendra Kumar Asre](/system/files/enforcement_action/2024-01-31/FinCEN_Consent_Order_2024-01_FINAL508.pdf) |  | 2024-01 | Depository Institutions, Money Services Businesses |. | </w:t>
        <w:br/>
        <w:t>• S.4211 - Consumer Data Privacy and Security Act of 2026 119th ...: # Text - S.4211 - 119th Congress (2025-2026): Consumer Data Privacy and Security Act of 2026 | Congress.gov | Library of Congress. - [x] Agriculture (93rd-119th) - [x] Agriculture (93rd-119th) - [x] A</w:t>
      </w:r>
    </w:p>
    <w:p>
      <w:pPr>
        <w:pStyle w:val="Heading2"/>
      </w:pPr>
      <w:r>
        <w:t>Audit Information</w:t>
      </w:r>
    </w:p>
    <w:p>
      <w:r>
        <w:t>Generated: 2026-05-16 00:47</w:t>
        <w:br/>
        <w:t>Pipeline Run: a6d80bd5</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