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D98" w:rsidRDefault="00D75835">
      <w:pPr>
        <w:jc w:val="center"/>
        <w:rPr>
          <w:rFonts w:hint="eastAsia"/>
        </w:rPr>
      </w:pPr>
      <w:r>
        <w:rPr>
          <w:b/>
          <w:color w:val="1F4E79"/>
          <w:sz w:val="50"/>
        </w:rPr>
        <w:br/>
        <w:t>Enterprise Metadata Governance Platform</w:t>
      </w:r>
    </w:p>
    <w:p w:rsidR="00B30D98" w:rsidRDefault="00D75835">
      <w:pPr>
        <w:jc w:val="center"/>
        <w:rPr>
          <w:rFonts w:hint="eastAsia"/>
        </w:rPr>
      </w:pPr>
      <w:r>
        <w:rPr>
          <w:b/>
          <w:sz w:val="32"/>
        </w:rPr>
        <w:t>Final Enterprise Tagging &amp; Metadata Governance Design</w:t>
      </w:r>
    </w:p>
    <w:p w:rsidR="00B30D98" w:rsidRDefault="00D75835">
      <w:pPr>
        <w:jc w:val="center"/>
        <w:rPr>
          <w:rFonts w:hint="eastAsia"/>
        </w:rPr>
      </w:pPr>
      <w:r>
        <w:t>Google Cloud Platform (GCP)</w:t>
      </w:r>
      <w:r>
        <w:br/>
        <w:t>Architecture and Design Review</w:t>
      </w:r>
    </w:p>
    <w:p w:rsidR="00B30D98" w:rsidRDefault="00D75835">
      <w:pPr>
        <w:jc w:val="center"/>
        <w:rPr>
          <w:rFonts w:hint="eastAsia"/>
        </w:rPr>
      </w:pPr>
      <w:r>
        <w:rPr>
          <w:noProof/>
          <w:lang w:val="en-GB" w:eastAsia="en-GB"/>
        </w:rPr>
        <w:drawing>
          <wp:inline distT="0" distB="0" distL="0" distR="0">
            <wp:extent cx="64008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corporate_infographic_diagram_on_a_white_l.png"/>
                    <pic:cNvPicPr/>
                  </pic:nvPicPr>
                  <pic:blipFill>
                    <a:blip r:embed="rId8"/>
                    <a:stretch>
                      <a:fillRect/>
                    </a:stretch>
                  </pic:blipFill>
                  <pic:spPr>
                    <a:xfrm>
                      <a:off x="0" y="0"/>
                      <a:ext cx="6400800" cy="4267200"/>
                    </a:xfrm>
                    <a:prstGeom prst="rect">
                      <a:avLst/>
                    </a:prstGeom>
                  </pic:spPr>
                </pic:pic>
              </a:graphicData>
            </a:graphic>
          </wp:inline>
        </w:drawing>
      </w:r>
    </w:p>
    <w:p w:rsidR="00B30D98" w:rsidRDefault="00D75835">
      <w:pPr>
        <w:jc w:val="center"/>
        <w:rPr>
          <w:rFonts w:hint="eastAsia"/>
        </w:rPr>
      </w:pPr>
      <w:r>
        <w:rPr>
          <w:i/>
        </w:rPr>
        <w:t>Status: Design for stakeholder review</w:t>
      </w:r>
      <w:r>
        <w:rPr>
          <w:i/>
        </w:rPr>
        <w:br/>
        <w:t xml:space="preserve">Scope: Organisation-wide | Brownfield + Greenfield | </w:t>
      </w:r>
      <w:r>
        <w:rPr>
          <w:i/>
        </w:rPr>
        <w:t>Serverless | Cost-conscious</w:t>
      </w:r>
    </w:p>
    <w:p w:rsidR="00B30D98" w:rsidRDefault="00D75835">
      <w:pPr>
        <w:rPr>
          <w:rFonts w:hint="eastAsia"/>
        </w:rPr>
      </w:pPr>
      <w:r>
        <w:br w:type="page"/>
      </w:r>
    </w:p>
    <w:p w:rsidR="00B30D98" w:rsidRDefault="00D75835">
      <w:pPr>
        <w:pStyle w:val="Heading1"/>
      </w:pPr>
      <w:r>
        <w:lastRenderedPageBreak/>
        <w:t>1. Purpose and Executive Summary</w:t>
      </w:r>
    </w:p>
    <w:p w:rsidR="00B30D98" w:rsidRDefault="00D75835">
      <w:pPr>
        <w:rPr>
          <w:rFonts w:hint="eastAsia"/>
        </w:rPr>
      </w:pPr>
      <w:r>
        <w:t>This document defines the target enterprise design for metadata governance across the client's Google Cloud estate. The platform establishes a single business metadata standard, resolves expect</w:t>
      </w:r>
      <w:r>
        <w:t>ed metadata from a central Governance Registry, discovers existing resources, evaluates compliance, remediates supported resources, validates outcomes and exposes organisation/project reporting.</w:t>
      </w:r>
    </w:p>
    <w:p w:rsidR="00B30D98" w:rsidRDefault="00D75835">
      <w:pPr>
        <w:rPr>
          <w:rFonts w:hint="eastAsia"/>
        </w:rPr>
      </w:pPr>
      <w:r>
        <w:t>The design deliberately separates the governance control plan</w:t>
      </w:r>
      <w:r>
        <w:t>e from workload projects. A dedicated governance project hosts the shared serverless services, audit data and dashboard. Existing resources are governed through the brownfield path. Newly created resources are governed through an event-driven greenfield pa</w:t>
      </w:r>
      <w:r>
        <w:t>th. Human dashboard access is separated from machine enforcement so that only authenticated organisation users can view governance data while remediation services remain private.</w:t>
      </w:r>
    </w:p>
    <w:p w:rsidR="00B30D98" w:rsidRDefault="00D75835">
      <w:pPr>
        <w:pStyle w:val="Heading2"/>
      </w:pPr>
      <w:r>
        <w:t>1.1 Business Drivers</w:t>
      </w:r>
    </w:p>
    <w:p w:rsidR="00B30D98" w:rsidRDefault="00D75835">
      <w:pPr>
        <w:pStyle w:val="ListBullet"/>
        <w:rPr>
          <w:rFonts w:hint="eastAsia"/>
        </w:rPr>
      </w:pPr>
      <w:r>
        <w:t xml:space="preserve">Improve cost allocation, chargeback/showback and FinOps </w:t>
      </w:r>
      <w:r>
        <w:t>reporting.</w:t>
      </w:r>
    </w:p>
    <w:p w:rsidR="00B30D98" w:rsidRDefault="00D75835">
      <w:pPr>
        <w:pStyle w:val="ListBullet"/>
        <w:rPr>
          <w:rFonts w:hint="eastAsia"/>
        </w:rPr>
      </w:pPr>
      <w:r>
        <w:t>Create reliable ownership and support accountability for cloud resources.</w:t>
      </w:r>
    </w:p>
    <w:p w:rsidR="00B30D98" w:rsidRDefault="00D75835">
      <w:pPr>
        <w:pStyle w:val="ListBullet"/>
        <w:rPr>
          <w:rFonts w:hint="eastAsia"/>
        </w:rPr>
      </w:pPr>
      <w:r>
        <w:t>Standardise environment and business criticality metadata.</w:t>
      </w:r>
    </w:p>
    <w:p w:rsidR="00B30D98" w:rsidRDefault="00D75835">
      <w:pPr>
        <w:pStyle w:val="ListBullet"/>
        <w:rPr>
          <w:rFonts w:hint="eastAsia"/>
        </w:rPr>
      </w:pPr>
      <w:r>
        <w:t>Reduce manual tagging activity and inconsistent project-by-project scripts.</w:t>
      </w:r>
    </w:p>
    <w:p w:rsidR="00B30D98" w:rsidRDefault="00D75835">
      <w:pPr>
        <w:pStyle w:val="ListBullet"/>
        <w:rPr>
          <w:rFonts w:hint="eastAsia"/>
        </w:rPr>
      </w:pPr>
      <w:r>
        <w:t>Provide auditable compliance and rem</w:t>
      </w:r>
      <w:r>
        <w:t>ediation history.</w:t>
      </w:r>
    </w:p>
    <w:p w:rsidR="00B30D98" w:rsidRDefault="00D75835">
      <w:pPr>
        <w:pStyle w:val="ListBullet"/>
        <w:rPr>
          <w:rFonts w:hint="eastAsia"/>
        </w:rPr>
      </w:pPr>
      <w:r>
        <w:t>Support large enterprise estates without maintaining always-on infrastructure.</w:t>
      </w:r>
    </w:p>
    <w:p w:rsidR="00B30D98" w:rsidRDefault="00D75835">
      <w:pPr>
        <w:pStyle w:val="Heading1"/>
      </w:pPr>
      <w:r>
        <w:t>2. Architecture at a Glance</w:t>
      </w:r>
    </w:p>
    <w:p w:rsidR="00B30D98" w:rsidRDefault="00D75835">
      <w:pPr>
        <w:jc w:val="center"/>
        <w:rPr>
          <w:rFonts w:hint="eastAsia"/>
        </w:rPr>
      </w:pPr>
      <w:r>
        <w:rPr>
          <w:noProof/>
          <w:lang w:val="en-GB" w:eastAsia="en-GB"/>
        </w:rPr>
        <w:drawing>
          <wp:inline distT="0" distB="0" distL="0" distR="0">
            <wp:extent cx="6400800" cy="42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corporate_infographic_diagram_on_a_white_l.png"/>
                    <pic:cNvPicPr/>
                  </pic:nvPicPr>
                  <pic:blipFill>
                    <a:blip r:embed="rId8"/>
                    <a:stretch>
                      <a:fillRect/>
                    </a:stretch>
                  </pic:blipFill>
                  <pic:spPr>
                    <a:xfrm>
                      <a:off x="0" y="0"/>
                      <a:ext cx="6400800" cy="4267200"/>
                    </a:xfrm>
                    <a:prstGeom prst="rect">
                      <a:avLst/>
                    </a:prstGeom>
                  </pic:spPr>
                </pic:pic>
              </a:graphicData>
            </a:graphic>
          </wp:inline>
        </w:drawing>
      </w:r>
    </w:p>
    <w:p w:rsidR="00B30D98" w:rsidRDefault="00D75835">
      <w:pPr>
        <w:rPr>
          <w:rFonts w:hint="eastAsia"/>
        </w:rPr>
      </w:pPr>
      <w:r>
        <w:t>Figure 1 - Target logical architecture. The brownfield discovery path and greenfield event path converge on the central governanc</w:t>
      </w:r>
      <w:r>
        <w:t>e engine. Remediation is decoupled through Cloud Tasks and resource-specific adapters. BigQuery provides the durable governance record. The dashboard is a separate authenticated service and has no remediation responsibility.</w:t>
      </w:r>
    </w:p>
    <w:p w:rsidR="00B30D98" w:rsidRDefault="00D75835">
      <w:pPr>
        <w:rPr>
          <w:rFonts w:hint="eastAsia"/>
        </w:rPr>
      </w:pPr>
      <w:r>
        <w:br w:type="page"/>
      </w:r>
    </w:p>
    <w:p w:rsidR="004C5647" w:rsidRDefault="004C5647">
      <w:pPr>
        <w:pStyle w:val="Heading1"/>
      </w:pPr>
    </w:p>
    <w:p w:rsidR="004C5647" w:rsidRDefault="004C5647">
      <w:pPr>
        <w:pStyle w:val="Heading1"/>
      </w:pPr>
    </w:p>
    <w:p w:rsidR="00B30D98" w:rsidRDefault="00D75835">
      <w:pPr>
        <w:pStyle w:val="Heading1"/>
      </w:pPr>
      <w:r>
        <w:t>3. Enterprise Metadata Standa</w:t>
      </w:r>
      <w:r>
        <w:t>rd</w:t>
      </w:r>
    </w:p>
    <w:p w:rsidR="00B30D98" w:rsidRDefault="00D75835">
      <w:pPr>
        <w:rPr>
          <w:rFonts w:hint="eastAsia"/>
        </w:rPr>
      </w:pPr>
      <w:r>
        <w:t>The Governance Registry is the authoritative source of business metadata. Governance-owned keys are mandatory for supported resources unless an explicitly approved exception applies.</w:t>
      </w:r>
    </w:p>
    <w:tbl>
      <w:tblPr>
        <w:tblStyle w:val="TableGrid"/>
        <w:tblW w:w="0" w:type="auto"/>
        <w:jc w:val="center"/>
        <w:tblLook w:val="04A0" w:firstRow="1" w:lastRow="0" w:firstColumn="1" w:lastColumn="0" w:noHBand="0" w:noVBand="1"/>
      </w:tblPr>
      <w:tblGrid>
        <w:gridCol w:w="2556"/>
        <w:gridCol w:w="2556"/>
        <w:gridCol w:w="2556"/>
        <w:gridCol w:w="2556"/>
      </w:tblGrid>
      <w:tr w:rsidR="00B30D98">
        <w:trPr>
          <w:jc w:val="center"/>
        </w:trPr>
        <w:tc>
          <w:tcPr>
            <w:tcW w:w="2556" w:type="dxa"/>
            <w:shd w:val="clear" w:color="auto" w:fill="1F4E79"/>
          </w:tcPr>
          <w:p w:rsidR="00B30D98" w:rsidRDefault="00D75835">
            <w:pPr>
              <w:rPr>
                <w:rFonts w:hint="eastAsia"/>
              </w:rPr>
            </w:pPr>
            <w:r>
              <w:rPr>
                <w:b/>
                <w:color w:val="FFFFFF"/>
                <w:sz w:val="17"/>
              </w:rPr>
              <w:t>Key</w:t>
            </w:r>
          </w:p>
        </w:tc>
        <w:tc>
          <w:tcPr>
            <w:tcW w:w="2556" w:type="dxa"/>
            <w:shd w:val="clear" w:color="auto" w:fill="1F4E79"/>
          </w:tcPr>
          <w:p w:rsidR="00B30D98" w:rsidRDefault="00D75835">
            <w:pPr>
              <w:rPr>
                <w:rFonts w:hint="eastAsia"/>
              </w:rPr>
            </w:pPr>
            <w:r>
              <w:rPr>
                <w:b/>
                <w:color w:val="FFFFFF"/>
                <w:sz w:val="17"/>
              </w:rPr>
              <w:t>Business Purpose</w:t>
            </w:r>
          </w:p>
        </w:tc>
        <w:tc>
          <w:tcPr>
            <w:tcW w:w="2556" w:type="dxa"/>
            <w:shd w:val="clear" w:color="auto" w:fill="1F4E79"/>
          </w:tcPr>
          <w:p w:rsidR="00B30D98" w:rsidRDefault="00D75835">
            <w:pPr>
              <w:rPr>
                <w:rFonts w:hint="eastAsia"/>
              </w:rPr>
            </w:pPr>
            <w:r>
              <w:rPr>
                <w:b/>
                <w:color w:val="FFFFFF"/>
                <w:sz w:val="17"/>
              </w:rPr>
              <w:t>Registry Source</w:t>
            </w:r>
          </w:p>
        </w:tc>
        <w:tc>
          <w:tcPr>
            <w:tcW w:w="2556" w:type="dxa"/>
            <w:shd w:val="clear" w:color="auto" w:fill="1F4E79"/>
          </w:tcPr>
          <w:p w:rsidR="00B30D98" w:rsidRDefault="00D75835">
            <w:pPr>
              <w:rPr>
                <w:rFonts w:hint="eastAsia"/>
              </w:rPr>
            </w:pPr>
            <w:r>
              <w:rPr>
                <w:b/>
                <w:color w:val="FFFFFF"/>
                <w:sz w:val="17"/>
              </w:rPr>
              <w:t>Policy</w:t>
            </w:r>
          </w:p>
        </w:tc>
      </w:tr>
      <w:tr w:rsidR="00B30D98">
        <w:trPr>
          <w:jc w:val="center"/>
        </w:trPr>
        <w:tc>
          <w:tcPr>
            <w:tcW w:w="2556" w:type="dxa"/>
            <w:vAlign w:val="center"/>
          </w:tcPr>
          <w:p w:rsidR="00B30D98" w:rsidRDefault="00D75835">
            <w:pPr>
              <w:rPr>
                <w:rFonts w:hint="eastAsia"/>
              </w:rPr>
            </w:pPr>
            <w:r>
              <w:rPr>
                <w:sz w:val="16"/>
              </w:rPr>
              <w:t>application</w:t>
            </w:r>
          </w:p>
        </w:tc>
        <w:tc>
          <w:tcPr>
            <w:tcW w:w="2556" w:type="dxa"/>
            <w:vAlign w:val="center"/>
          </w:tcPr>
          <w:p w:rsidR="00B30D98" w:rsidRDefault="00D75835">
            <w:pPr>
              <w:rPr>
                <w:rFonts w:hint="eastAsia"/>
              </w:rPr>
            </w:pPr>
            <w:r>
              <w:rPr>
                <w:sz w:val="16"/>
              </w:rPr>
              <w:t>Application/product attribution</w:t>
            </w:r>
          </w:p>
        </w:tc>
        <w:tc>
          <w:tcPr>
            <w:tcW w:w="2556" w:type="dxa"/>
            <w:vAlign w:val="center"/>
          </w:tcPr>
          <w:p w:rsidR="00B30D98" w:rsidRDefault="00D75835">
            <w:pPr>
              <w:rPr>
                <w:rFonts w:hint="eastAsia"/>
              </w:rPr>
            </w:pPr>
            <w:r>
              <w:rPr>
                <w:sz w:val="16"/>
              </w:rPr>
              <w:t>product</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team</w:t>
            </w:r>
          </w:p>
        </w:tc>
        <w:tc>
          <w:tcPr>
            <w:tcW w:w="2556" w:type="dxa"/>
            <w:vAlign w:val="center"/>
          </w:tcPr>
          <w:p w:rsidR="00B30D98" w:rsidRDefault="00D75835">
            <w:pPr>
              <w:rPr>
                <w:rFonts w:hint="eastAsia"/>
              </w:rPr>
            </w:pPr>
            <w:r>
              <w:rPr>
                <w:sz w:val="16"/>
              </w:rPr>
              <w:t>Responsible delivery/support team</w:t>
            </w:r>
          </w:p>
        </w:tc>
        <w:tc>
          <w:tcPr>
            <w:tcW w:w="2556" w:type="dxa"/>
            <w:vAlign w:val="center"/>
          </w:tcPr>
          <w:p w:rsidR="00B30D98" w:rsidRDefault="00D75835">
            <w:pPr>
              <w:rPr>
                <w:rFonts w:hint="eastAsia"/>
              </w:rPr>
            </w:pPr>
            <w:r>
              <w:rPr>
                <w:sz w:val="16"/>
              </w:rPr>
              <w:t>team</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owner</w:t>
            </w:r>
          </w:p>
        </w:tc>
        <w:tc>
          <w:tcPr>
            <w:tcW w:w="2556" w:type="dxa"/>
            <w:vAlign w:val="center"/>
          </w:tcPr>
          <w:p w:rsidR="00B30D98" w:rsidRDefault="00D75835">
            <w:pPr>
              <w:rPr>
                <w:rFonts w:hint="eastAsia"/>
              </w:rPr>
            </w:pPr>
            <w:r>
              <w:rPr>
                <w:sz w:val="16"/>
              </w:rPr>
              <w:t>Accountable owner</w:t>
            </w:r>
          </w:p>
        </w:tc>
        <w:tc>
          <w:tcPr>
            <w:tcW w:w="2556" w:type="dxa"/>
            <w:vAlign w:val="center"/>
          </w:tcPr>
          <w:p w:rsidR="00B30D98" w:rsidRDefault="00D75835">
            <w:pPr>
              <w:rPr>
                <w:rFonts w:hint="eastAsia"/>
              </w:rPr>
            </w:pPr>
            <w:r>
              <w:rPr>
                <w:sz w:val="16"/>
              </w:rPr>
              <w:t>owner</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budgetowner</w:t>
            </w:r>
          </w:p>
        </w:tc>
        <w:tc>
          <w:tcPr>
            <w:tcW w:w="2556" w:type="dxa"/>
            <w:vAlign w:val="center"/>
          </w:tcPr>
          <w:p w:rsidR="00B30D98" w:rsidRDefault="00D75835">
            <w:pPr>
              <w:rPr>
                <w:rFonts w:hint="eastAsia"/>
              </w:rPr>
            </w:pPr>
            <w:r>
              <w:rPr>
                <w:sz w:val="16"/>
              </w:rPr>
              <w:t>Budget accountability</w:t>
            </w:r>
          </w:p>
        </w:tc>
        <w:tc>
          <w:tcPr>
            <w:tcW w:w="2556" w:type="dxa"/>
            <w:vAlign w:val="center"/>
          </w:tcPr>
          <w:p w:rsidR="00B30D98" w:rsidRDefault="00D75835">
            <w:pPr>
              <w:rPr>
                <w:rFonts w:hint="eastAsia"/>
              </w:rPr>
            </w:pPr>
            <w:r>
              <w:rPr>
                <w:sz w:val="16"/>
              </w:rPr>
              <w:t>budgetOwner</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organization</w:t>
            </w:r>
          </w:p>
        </w:tc>
        <w:tc>
          <w:tcPr>
            <w:tcW w:w="2556" w:type="dxa"/>
            <w:vAlign w:val="center"/>
          </w:tcPr>
          <w:p w:rsidR="00B30D98" w:rsidRDefault="00D75835">
            <w:pPr>
              <w:rPr>
                <w:rFonts w:hint="eastAsia"/>
              </w:rPr>
            </w:pPr>
            <w:r>
              <w:rPr>
                <w:sz w:val="16"/>
              </w:rPr>
              <w:t>Owning organisation/business unit</w:t>
            </w:r>
          </w:p>
        </w:tc>
        <w:tc>
          <w:tcPr>
            <w:tcW w:w="2556" w:type="dxa"/>
            <w:vAlign w:val="center"/>
          </w:tcPr>
          <w:p w:rsidR="00B30D98" w:rsidRDefault="00D75835">
            <w:pPr>
              <w:rPr>
                <w:rFonts w:hint="eastAsia"/>
              </w:rPr>
            </w:pPr>
            <w:r>
              <w:rPr>
                <w:sz w:val="16"/>
              </w:rPr>
              <w:t>organization</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department</w:t>
            </w:r>
          </w:p>
        </w:tc>
        <w:tc>
          <w:tcPr>
            <w:tcW w:w="2556" w:type="dxa"/>
            <w:vAlign w:val="center"/>
          </w:tcPr>
          <w:p w:rsidR="00B30D98" w:rsidRDefault="00D75835">
            <w:pPr>
              <w:rPr>
                <w:rFonts w:hint="eastAsia"/>
              </w:rPr>
            </w:pPr>
            <w:r>
              <w:rPr>
                <w:sz w:val="16"/>
              </w:rPr>
              <w:t>Owning department</w:t>
            </w:r>
          </w:p>
        </w:tc>
        <w:tc>
          <w:tcPr>
            <w:tcW w:w="2556" w:type="dxa"/>
            <w:vAlign w:val="center"/>
          </w:tcPr>
          <w:p w:rsidR="00B30D98" w:rsidRDefault="00D75835">
            <w:pPr>
              <w:rPr>
                <w:rFonts w:hint="eastAsia"/>
              </w:rPr>
            </w:pPr>
            <w:r>
              <w:rPr>
                <w:sz w:val="16"/>
              </w:rPr>
              <w:t>department</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costcenter</w:t>
            </w:r>
          </w:p>
        </w:tc>
        <w:tc>
          <w:tcPr>
            <w:tcW w:w="2556" w:type="dxa"/>
            <w:vAlign w:val="center"/>
          </w:tcPr>
          <w:p w:rsidR="00B30D98" w:rsidRDefault="00D75835">
            <w:pPr>
              <w:rPr>
                <w:rFonts w:hint="eastAsia"/>
              </w:rPr>
            </w:pPr>
            <w:r>
              <w:rPr>
                <w:sz w:val="16"/>
              </w:rPr>
              <w:t>FinOps allocation / chargeback</w:t>
            </w:r>
          </w:p>
        </w:tc>
        <w:tc>
          <w:tcPr>
            <w:tcW w:w="2556" w:type="dxa"/>
            <w:vAlign w:val="center"/>
          </w:tcPr>
          <w:p w:rsidR="00B30D98" w:rsidRDefault="00D75835">
            <w:pPr>
              <w:rPr>
                <w:rFonts w:hint="eastAsia"/>
              </w:rPr>
            </w:pPr>
            <w:r>
              <w:rPr>
                <w:sz w:val="16"/>
              </w:rPr>
              <w:t>costCenter</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environment</w:t>
            </w:r>
          </w:p>
        </w:tc>
        <w:tc>
          <w:tcPr>
            <w:tcW w:w="2556" w:type="dxa"/>
            <w:vAlign w:val="center"/>
          </w:tcPr>
          <w:p w:rsidR="00B30D98" w:rsidRDefault="00D75835">
            <w:pPr>
              <w:rPr>
                <w:rFonts w:hint="eastAsia"/>
              </w:rPr>
            </w:pPr>
            <w:r>
              <w:rPr>
                <w:sz w:val="16"/>
              </w:rPr>
              <w:t>dev/test/uat/prod or approved lifecycle value</w:t>
            </w:r>
          </w:p>
        </w:tc>
        <w:tc>
          <w:tcPr>
            <w:tcW w:w="2556" w:type="dxa"/>
            <w:vAlign w:val="center"/>
          </w:tcPr>
          <w:p w:rsidR="00B30D98" w:rsidRDefault="00D75835">
            <w:pPr>
              <w:rPr>
                <w:rFonts w:hint="eastAsia"/>
              </w:rPr>
            </w:pPr>
            <w:r>
              <w:rPr>
                <w:sz w:val="16"/>
              </w:rPr>
              <w:t>binding.environment</w:t>
            </w:r>
          </w:p>
        </w:tc>
        <w:tc>
          <w:tcPr>
            <w:tcW w:w="2556" w:type="dxa"/>
            <w:vAlign w:val="center"/>
          </w:tcPr>
          <w:p w:rsidR="00B30D98" w:rsidRDefault="00D75835">
            <w:pPr>
              <w:rPr>
                <w:rFonts w:hint="eastAsia"/>
              </w:rPr>
            </w:pPr>
            <w:r>
              <w:rPr>
                <w:sz w:val="16"/>
              </w:rPr>
              <w:t>Mandatory</w:t>
            </w:r>
          </w:p>
        </w:tc>
      </w:tr>
      <w:tr w:rsidR="00B30D98">
        <w:trPr>
          <w:jc w:val="center"/>
        </w:trPr>
        <w:tc>
          <w:tcPr>
            <w:tcW w:w="2556" w:type="dxa"/>
            <w:vAlign w:val="center"/>
          </w:tcPr>
          <w:p w:rsidR="00B30D98" w:rsidRDefault="00D75835">
            <w:pPr>
              <w:rPr>
                <w:rFonts w:hint="eastAsia"/>
              </w:rPr>
            </w:pPr>
            <w:r>
              <w:rPr>
                <w:sz w:val="16"/>
              </w:rPr>
              <w:t>businesscriticality</w:t>
            </w:r>
          </w:p>
        </w:tc>
        <w:tc>
          <w:tcPr>
            <w:tcW w:w="2556" w:type="dxa"/>
            <w:vAlign w:val="center"/>
          </w:tcPr>
          <w:p w:rsidR="00B30D98" w:rsidRDefault="00D75835">
            <w:pPr>
              <w:rPr>
                <w:rFonts w:hint="eastAsia"/>
              </w:rPr>
            </w:pPr>
            <w:r>
              <w:rPr>
                <w:sz w:val="16"/>
              </w:rPr>
              <w:t>Business</w:t>
            </w:r>
            <w:r>
              <w:rPr>
                <w:sz w:val="16"/>
              </w:rPr>
              <w:t xml:space="preserve"> impact / service importance</w:t>
            </w:r>
          </w:p>
        </w:tc>
        <w:tc>
          <w:tcPr>
            <w:tcW w:w="2556" w:type="dxa"/>
            <w:vAlign w:val="center"/>
          </w:tcPr>
          <w:p w:rsidR="00B30D98" w:rsidRDefault="00D75835">
            <w:pPr>
              <w:rPr>
                <w:rFonts w:hint="eastAsia"/>
              </w:rPr>
            </w:pPr>
            <w:r>
              <w:rPr>
                <w:sz w:val="16"/>
              </w:rPr>
              <w:t>binding.businessCriticality</w:t>
            </w:r>
          </w:p>
        </w:tc>
        <w:tc>
          <w:tcPr>
            <w:tcW w:w="2556" w:type="dxa"/>
            <w:vAlign w:val="center"/>
          </w:tcPr>
          <w:p w:rsidR="00B30D98" w:rsidRDefault="00D75835">
            <w:pPr>
              <w:rPr>
                <w:rFonts w:hint="eastAsia"/>
              </w:rPr>
            </w:pPr>
            <w:r>
              <w:rPr>
                <w:sz w:val="16"/>
              </w:rPr>
              <w:t>Mandatory</w:t>
            </w:r>
          </w:p>
        </w:tc>
      </w:tr>
    </w:tbl>
    <w:p w:rsidR="00B30D98" w:rsidRDefault="00B30D98">
      <w:pPr>
        <w:rPr>
          <w:rFonts w:hint="eastAsia"/>
        </w:rPr>
      </w:pPr>
    </w:p>
    <w:p w:rsidR="00B30D98" w:rsidRDefault="00D75835">
      <w:pPr>
        <w:pStyle w:val="Heading2"/>
      </w:pPr>
      <w:r>
        <w:t>3.1 Metadata Behaviour</w:t>
      </w:r>
    </w:p>
    <w:p w:rsidR="00B30D98" w:rsidRDefault="00D75835">
      <w:pPr>
        <w:pStyle w:val="ListBullet"/>
        <w:rPr>
          <w:rFonts w:hint="eastAsia"/>
        </w:rPr>
      </w:pPr>
      <w:r>
        <w:t>Normalise values to valid GCP metadata formats before enforcement.</w:t>
      </w:r>
    </w:p>
    <w:p w:rsidR="00B30D98" w:rsidRDefault="00D75835">
      <w:pPr>
        <w:pStyle w:val="ListBullet"/>
        <w:rPr>
          <w:rFonts w:hint="eastAsia"/>
        </w:rPr>
      </w:pPr>
      <w:r>
        <w:t>Preserve metadata that is not owned by the governance standard.</w:t>
      </w:r>
    </w:p>
    <w:p w:rsidR="00B30D98" w:rsidRDefault="00D75835">
      <w:pPr>
        <w:pStyle w:val="ListBullet"/>
        <w:rPr>
          <w:rFonts w:hint="eastAsia"/>
        </w:rPr>
      </w:pPr>
      <w:r>
        <w:t>Correct missing or incorrect gove</w:t>
      </w:r>
      <w:r>
        <w:t>rnance-owned values from the source of truth.</w:t>
      </w:r>
    </w:p>
    <w:p w:rsidR="00B30D98" w:rsidRDefault="00D75835">
      <w:pPr>
        <w:pStyle w:val="ListBullet"/>
        <w:rPr>
          <w:rFonts w:hint="eastAsia"/>
        </w:rPr>
      </w:pPr>
      <w:r>
        <w:t>Do not auto-remediate a resource through a metadata mechanism that has not been verified for that resource type.</w:t>
      </w:r>
    </w:p>
    <w:p w:rsidR="00B30D98" w:rsidRDefault="00D75835">
      <w:pPr>
        <w:pStyle w:val="ListBullet"/>
        <w:rPr>
          <w:rFonts w:hint="eastAsia"/>
        </w:rPr>
      </w:pPr>
      <w:r>
        <w:t>Record unsupported/skipped outcomes so absence of remediation is visible rather than silent.</w:t>
      </w:r>
    </w:p>
    <w:p w:rsidR="00B30D98" w:rsidRDefault="00D75835">
      <w:pPr>
        <w:pStyle w:val="Heading1"/>
      </w:pPr>
      <w:r>
        <w:t>4. R</w:t>
      </w:r>
      <w:r>
        <w:t>egistry and Application Resolution</w:t>
      </w:r>
    </w:p>
    <w:p w:rsidR="00B30D98" w:rsidRDefault="00D75835">
      <w:pPr>
        <w:rPr>
          <w:rFonts w:hint="eastAsia"/>
        </w:rPr>
      </w:pPr>
      <w:r>
        <w:t>Each application is represented independently in the registry with business metadata and one or more GCP bindings. The engine consumes the registry; application onboarding should not require application-specific Python ch</w:t>
      </w:r>
      <w:r>
        <w:t>anges.</w:t>
      </w:r>
    </w:p>
    <w:p w:rsidR="00B30D98" w:rsidRDefault="00D75835">
      <w:pPr>
        <w:pStyle w:val="Heading2"/>
      </w:pPr>
      <w:r>
        <w:t>4.1 Important Production Decision - Multiple Applications in One Project</w:t>
      </w:r>
    </w:p>
    <w:p w:rsidR="00B30D98" w:rsidRDefault="00D75835">
      <w:pPr>
        <w:rPr>
          <w:rFonts w:hint="eastAsia"/>
        </w:rPr>
      </w:pPr>
      <w:r>
        <w:t>The current implementation resolves registry metadata by project ID and returns the matching application binding. That is valid only where a project has one authoritative appli</w:t>
      </w:r>
      <w:r>
        <w:t>cation identity. A client project containing multiple independent applications requires resource-aware application resolution. Before production rollout, the client must define the authoritative discriminator - for example an existing application identifie</w:t>
      </w:r>
      <w:r>
        <w:t>r carried by the resource or another governed mapping. The platform must not guess application ownership from resource names.</w:t>
      </w:r>
    </w:p>
    <w:p w:rsidR="00B30D98" w:rsidRDefault="00D75835">
      <w:pPr>
        <w:rPr>
          <w:rFonts w:hint="eastAsia"/>
        </w:rPr>
      </w:pPr>
      <w:r>
        <w:t>Recommended design rule: project ID determines governance scope; application identity determines business ownership. Where applica</w:t>
      </w:r>
      <w:r>
        <w:t>tion identity cannot be resolved deterministically, classify the resource as unresolved and report it for onboarding/remediation rather than assigning potentially incorrect metadata.</w:t>
      </w:r>
    </w:p>
    <w:p w:rsidR="00B30D98" w:rsidRDefault="00D75835">
      <w:pPr>
        <w:rPr>
          <w:rFonts w:hint="eastAsia"/>
        </w:rPr>
      </w:pPr>
      <w:r>
        <w:br w:type="page"/>
      </w:r>
    </w:p>
    <w:p w:rsidR="004C5647" w:rsidRDefault="004C5647">
      <w:pPr>
        <w:pStyle w:val="Heading1"/>
      </w:pPr>
    </w:p>
    <w:p w:rsidR="00B30D98" w:rsidRDefault="00D75835">
      <w:pPr>
        <w:pStyle w:val="Heading1"/>
      </w:pPr>
      <w:r>
        <w:t>5. Brownfield Governance Design</w:t>
      </w:r>
    </w:p>
    <w:p w:rsidR="00B30D98" w:rsidRDefault="00D75835">
      <w:pPr>
        <w:rPr>
          <w:rFonts w:hint="eastAsia"/>
        </w:rPr>
      </w:pPr>
      <w:r>
        <w:t xml:space="preserve">Brownfield governance covers resources </w:t>
      </w:r>
      <w:r>
        <w:t>that already exist. Cloud Asset Inventory provides central resource discovery. The engine resolves expected metadata, evaluates compliance and produces a remediation plan. Remediation work is placed onto Cloud Tasks so large estates can be processed asynch</w:t>
      </w:r>
      <w:r>
        <w:t>ronously and with controlled concurrency.</w:t>
      </w:r>
    </w:p>
    <w:tbl>
      <w:tblPr>
        <w:tblStyle w:val="TableGrid"/>
        <w:tblW w:w="0" w:type="auto"/>
        <w:jc w:val="center"/>
        <w:tblLook w:val="04A0" w:firstRow="1" w:lastRow="0" w:firstColumn="1" w:lastColumn="0" w:noHBand="0" w:noVBand="1"/>
      </w:tblPr>
      <w:tblGrid>
        <w:gridCol w:w="3408"/>
        <w:gridCol w:w="3408"/>
        <w:gridCol w:w="3408"/>
      </w:tblGrid>
      <w:tr w:rsidR="00B30D98">
        <w:trPr>
          <w:jc w:val="center"/>
        </w:trPr>
        <w:tc>
          <w:tcPr>
            <w:tcW w:w="3408" w:type="dxa"/>
            <w:shd w:val="clear" w:color="auto" w:fill="1F4E79"/>
          </w:tcPr>
          <w:p w:rsidR="00B30D98" w:rsidRDefault="00D75835">
            <w:pPr>
              <w:rPr>
                <w:rFonts w:hint="eastAsia"/>
              </w:rPr>
            </w:pPr>
            <w:r>
              <w:rPr>
                <w:b/>
                <w:color w:val="FFFFFF"/>
                <w:sz w:val="17"/>
              </w:rPr>
              <w:t>Stage</w:t>
            </w:r>
          </w:p>
        </w:tc>
        <w:tc>
          <w:tcPr>
            <w:tcW w:w="3408" w:type="dxa"/>
            <w:shd w:val="clear" w:color="auto" w:fill="1F4E79"/>
          </w:tcPr>
          <w:p w:rsidR="00B30D98" w:rsidRDefault="00D75835">
            <w:pPr>
              <w:rPr>
                <w:rFonts w:hint="eastAsia"/>
              </w:rPr>
            </w:pPr>
            <w:r>
              <w:rPr>
                <w:b/>
                <w:color w:val="FFFFFF"/>
                <w:sz w:val="17"/>
              </w:rPr>
              <w:t>Component</w:t>
            </w:r>
          </w:p>
        </w:tc>
        <w:tc>
          <w:tcPr>
            <w:tcW w:w="3408" w:type="dxa"/>
            <w:shd w:val="clear" w:color="auto" w:fill="1F4E79"/>
          </w:tcPr>
          <w:p w:rsidR="00B30D98" w:rsidRDefault="00D75835">
            <w:pPr>
              <w:rPr>
                <w:rFonts w:hint="eastAsia"/>
              </w:rPr>
            </w:pPr>
            <w:r>
              <w:rPr>
                <w:b/>
                <w:color w:val="FFFFFF"/>
                <w:sz w:val="17"/>
              </w:rPr>
              <w:t>Responsibility</w:t>
            </w:r>
          </w:p>
        </w:tc>
      </w:tr>
      <w:tr w:rsidR="00B30D98">
        <w:trPr>
          <w:jc w:val="center"/>
        </w:trPr>
        <w:tc>
          <w:tcPr>
            <w:tcW w:w="3408" w:type="dxa"/>
            <w:vAlign w:val="center"/>
          </w:tcPr>
          <w:p w:rsidR="00B30D98" w:rsidRDefault="00D75835">
            <w:pPr>
              <w:rPr>
                <w:rFonts w:hint="eastAsia"/>
              </w:rPr>
            </w:pPr>
            <w:r>
              <w:rPr>
                <w:sz w:val="16"/>
              </w:rPr>
              <w:t>1</w:t>
            </w:r>
          </w:p>
        </w:tc>
        <w:tc>
          <w:tcPr>
            <w:tcW w:w="3408" w:type="dxa"/>
            <w:vAlign w:val="center"/>
          </w:tcPr>
          <w:p w:rsidR="00B30D98" w:rsidRDefault="00D75835">
            <w:pPr>
              <w:rPr>
                <w:rFonts w:hint="eastAsia"/>
              </w:rPr>
            </w:pPr>
            <w:r>
              <w:rPr>
                <w:sz w:val="16"/>
              </w:rPr>
              <w:t>Cloud Asset Inventory</w:t>
            </w:r>
          </w:p>
        </w:tc>
        <w:tc>
          <w:tcPr>
            <w:tcW w:w="3408" w:type="dxa"/>
            <w:vAlign w:val="center"/>
          </w:tcPr>
          <w:p w:rsidR="00B30D98" w:rsidRDefault="00D75835">
            <w:pPr>
              <w:rPr>
                <w:rFonts w:hint="eastAsia"/>
              </w:rPr>
            </w:pPr>
            <w:r>
              <w:rPr>
                <w:sz w:val="16"/>
              </w:rPr>
              <w:t>Discover resources in governed scope.</w:t>
            </w:r>
          </w:p>
        </w:tc>
      </w:tr>
      <w:tr w:rsidR="00B30D98">
        <w:trPr>
          <w:jc w:val="center"/>
        </w:trPr>
        <w:tc>
          <w:tcPr>
            <w:tcW w:w="3408" w:type="dxa"/>
            <w:vAlign w:val="center"/>
          </w:tcPr>
          <w:p w:rsidR="00B30D98" w:rsidRDefault="00D75835">
            <w:pPr>
              <w:rPr>
                <w:rFonts w:hint="eastAsia"/>
              </w:rPr>
            </w:pPr>
            <w:r>
              <w:rPr>
                <w:sz w:val="16"/>
              </w:rPr>
              <w:t>2</w:t>
            </w:r>
          </w:p>
        </w:tc>
        <w:tc>
          <w:tcPr>
            <w:tcW w:w="3408" w:type="dxa"/>
            <w:vAlign w:val="center"/>
          </w:tcPr>
          <w:p w:rsidR="00B30D98" w:rsidRDefault="00D75835">
            <w:pPr>
              <w:rPr>
                <w:rFonts w:hint="eastAsia"/>
              </w:rPr>
            </w:pPr>
            <w:r>
              <w:rPr>
                <w:sz w:val="16"/>
              </w:rPr>
              <w:t>Registry / Classification</w:t>
            </w:r>
          </w:p>
        </w:tc>
        <w:tc>
          <w:tcPr>
            <w:tcW w:w="3408" w:type="dxa"/>
            <w:vAlign w:val="center"/>
          </w:tcPr>
          <w:p w:rsidR="00B30D98" w:rsidRDefault="00D75835">
            <w:pPr>
              <w:rPr>
                <w:rFonts w:hint="eastAsia"/>
              </w:rPr>
            </w:pPr>
            <w:r>
              <w:rPr>
                <w:sz w:val="16"/>
              </w:rPr>
              <w:t>Resolve expected application and business metadata.</w:t>
            </w:r>
          </w:p>
        </w:tc>
      </w:tr>
      <w:tr w:rsidR="00B30D98">
        <w:trPr>
          <w:jc w:val="center"/>
        </w:trPr>
        <w:tc>
          <w:tcPr>
            <w:tcW w:w="3408" w:type="dxa"/>
            <w:vAlign w:val="center"/>
          </w:tcPr>
          <w:p w:rsidR="00B30D98" w:rsidRDefault="00D75835">
            <w:pPr>
              <w:rPr>
                <w:rFonts w:hint="eastAsia"/>
              </w:rPr>
            </w:pPr>
            <w:r>
              <w:rPr>
                <w:sz w:val="16"/>
              </w:rPr>
              <w:t>3</w:t>
            </w:r>
          </w:p>
        </w:tc>
        <w:tc>
          <w:tcPr>
            <w:tcW w:w="3408" w:type="dxa"/>
            <w:vAlign w:val="center"/>
          </w:tcPr>
          <w:p w:rsidR="00B30D98" w:rsidRDefault="00D75835">
            <w:pPr>
              <w:rPr>
                <w:rFonts w:hint="eastAsia"/>
              </w:rPr>
            </w:pPr>
            <w:r>
              <w:rPr>
                <w:sz w:val="16"/>
              </w:rPr>
              <w:t>Compliance Service</w:t>
            </w:r>
          </w:p>
        </w:tc>
        <w:tc>
          <w:tcPr>
            <w:tcW w:w="3408" w:type="dxa"/>
            <w:vAlign w:val="center"/>
          </w:tcPr>
          <w:p w:rsidR="00B30D98" w:rsidRDefault="00D75835">
            <w:pPr>
              <w:rPr>
                <w:rFonts w:hint="eastAsia"/>
              </w:rPr>
            </w:pPr>
            <w:r>
              <w:rPr>
                <w:sz w:val="16"/>
              </w:rPr>
              <w:t xml:space="preserve">Compare current </w:t>
            </w:r>
            <w:r>
              <w:rPr>
                <w:sz w:val="16"/>
              </w:rPr>
              <w:t>metadata against expected values.</w:t>
            </w:r>
          </w:p>
        </w:tc>
      </w:tr>
      <w:tr w:rsidR="00B30D98">
        <w:trPr>
          <w:jc w:val="center"/>
        </w:trPr>
        <w:tc>
          <w:tcPr>
            <w:tcW w:w="3408" w:type="dxa"/>
            <w:vAlign w:val="center"/>
          </w:tcPr>
          <w:p w:rsidR="00B30D98" w:rsidRDefault="00D75835">
            <w:pPr>
              <w:rPr>
                <w:rFonts w:hint="eastAsia"/>
              </w:rPr>
            </w:pPr>
            <w:r>
              <w:rPr>
                <w:sz w:val="16"/>
              </w:rPr>
              <w:t>4</w:t>
            </w:r>
          </w:p>
        </w:tc>
        <w:tc>
          <w:tcPr>
            <w:tcW w:w="3408" w:type="dxa"/>
            <w:vAlign w:val="center"/>
          </w:tcPr>
          <w:p w:rsidR="00B30D98" w:rsidRDefault="00D75835">
            <w:pPr>
              <w:rPr>
                <w:rFonts w:hint="eastAsia"/>
              </w:rPr>
            </w:pPr>
            <w:r>
              <w:rPr>
                <w:sz w:val="16"/>
              </w:rPr>
              <w:t>Remediation Planner</w:t>
            </w:r>
          </w:p>
        </w:tc>
        <w:tc>
          <w:tcPr>
            <w:tcW w:w="3408" w:type="dxa"/>
            <w:vAlign w:val="center"/>
          </w:tcPr>
          <w:p w:rsidR="00B30D98" w:rsidRDefault="00D75835">
            <w:pPr>
              <w:rPr>
                <w:rFonts w:hint="eastAsia"/>
              </w:rPr>
            </w:pPr>
            <w:r>
              <w:rPr>
                <w:sz w:val="16"/>
              </w:rPr>
              <w:t>Create actions only for supported non-compliant resources.</w:t>
            </w:r>
          </w:p>
        </w:tc>
      </w:tr>
      <w:tr w:rsidR="00B30D98">
        <w:trPr>
          <w:jc w:val="center"/>
        </w:trPr>
        <w:tc>
          <w:tcPr>
            <w:tcW w:w="3408" w:type="dxa"/>
            <w:vAlign w:val="center"/>
          </w:tcPr>
          <w:p w:rsidR="00B30D98" w:rsidRDefault="00D75835">
            <w:pPr>
              <w:rPr>
                <w:rFonts w:hint="eastAsia"/>
              </w:rPr>
            </w:pPr>
            <w:r>
              <w:rPr>
                <w:sz w:val="16"/>
              </w:rPr>
              <w:t>5</w:t>
            </w:r>
          </w:p>
        </w:tc>
        <w:tc>
          <w:tcPr>
            <w:tcW w:w="3408" w:type="dxa"/>
            <w:vAlign w:val="center"/>
          </w:tcPr>
          <w:p w:rsidR="00B30D98" w:rsidRDefault="00D75835">
            <w:pPr>
              <w:rPr>
                <w:rFonts w:hint="eastAsia"/>
              </w:rPr>
            </w:pPr>
            <w:r>
              <w:rPr>
                <w:sz w:val="16"/>
              </w:rPr>
              <w:t>Cloud Tasks</w:t>
            </w:r>
          </w:p>
        </w:tc>
        <w:tc>
          <w:tcPr>
            <w:tcW w:w="3408" w:type="dxa"/>
            <w:vAlign w:val="center"/>
          </w:tcPr>
          <w:p w:rsidR="00B30D98" w:rsidRDefault="00D75835">
            <w:pPr>
              <w:rPr>
                <w:rFonts w:hint="eastAsia"/>
              </w:rPr>
            </w:pPr>
            <w:r>
              <w:rPr>
                <w:sz w:val="16"/>
              </w:rPr>
              <w:t>Queue/batch work and control remediation throughput.</w:t>
            </w:r>
          </w:p>
        </w:tc>
      </w:tr>
      <w:tr w:rsidR="00B30D98">
        <w:trPr>
          <w:jc w:val="center"/>
        </w:trPr>
        <w:tc>
          <w:tcPr>
            <w:tcW w:w="3408" w:type="dxa"/>
            <w:vAlign w:val="center"/>
          </w:tcPr>
          <w:p w:rsidR="00B30D98" w:rsidRDefault="00D75835">
            <w:pPr>
              <w:rPr>
                <w:rFonts w:hint="eastAsia"/>
              </w:rPr>
            </w:pPr>
            <w:r>
              <w:rPr>
                <w:sz w:val="16"/>
              </w:rPr>
              <w:t>6</w:t>
            </w:r>
          </w:p>
        </w:tc>
        <w:tc>
          <w:tcPr>
            <w:tcW w:w="3408" w:type="dxa"/>
            <w:vAlign w:val="center"/>
          </w:tcPr>
          <w:p w:rsidR="00B30D98" w:rsidRDefault="00D75835">
            <w:pPr>
              <w:rPr>
                <w:rFonts w:hint="eastAsia"/>
              </w:rPr>
            </w:pPr>
            <w:r>
              <w:rPr>
                <w:sz w:val="16"/>
              </w:rPr>
              <w:t>Worker + Adapters</w:t>
            </w:r>
          </w:p>
        </w:tc>
        <w:tc>
          <w:tcPr>
            <w:tcW w:w="3408" w:type="dxa"/>
            <w:vAlign w:val="center"/>
          </w:tcPr>
          <w:p w:rsidR="00B30D98" w:rsidRDefault="00D75835">
            <w:pPr>
              <w:rPr>
                <w:rFonts w:hint="eastAsia"/>
              </w:rPr>
            </w:pPr>
            <w:r>
              <w:rPr>
                <w:sz w:val="16"/>
              </w:rPr>
              <w:t>Apply labels/tags using the appropriate GCP API.</w:t>
            </w:r>
          </w:p>
        </w:tc>
      </w:tr>
      <w:tr w:rsidR="00B30D98">
        <w:trPr>
          <w:jc w:val="center"/>
        </w:trPr>
        <w:tc>
          <w:tcPr>
            <w:tcW w:w="3408" w:type="dxa"/>
            <w:vAlign w:val="center"/>
          </w:tcPr>
          <w:p w:rsidR="00B30D98" w:rsidRDefault="00D75835">
            <w:pPr>
              <w:rPr>
                <w:rFonts w:hint="eastAsia"/>
              </w:rPr>
            </w:pPr>
            <w:r>
              <w:rPr>
                <w:sz w:val="16"/>
              </w:rPr>
              <w:t>7</w:t>
            </w:r>
          </w:p>
        </w:tc>
        <w:tc>
          <w:tcPr>
            <w:tcW w:w="3408" w:type="dxa"/>
            <w:vAlign w:val="center"/>
          </w:tcPr>
          <w:p w:rsidR="00B30D98" w:rsidRDefault="00D75835">
            <w:pPr>
              <w:rPr>
                <w:rFonts w:hint="eastAsia"/>
              </w:rPr>
            </w:pPr>
            <w:r>
              <w:rPr>
                <w:sz w:val="16"/>
              </w:rPr>
              <w:t>Verification</w:t>
            </w:r>
          </w:p>
        </w:tc>
        <w:tc>
          <w:tcPr>
            <w:tcW w:w="3408" w:type="dxa"/>
            <w:vAlign w:val="center"/>
          </w:tcPr>
          <w:p w:rsidR="00B30D98" w:rsidRDefault="00D75835">
            <w:pPr>
              <w:rPr>
                <w:rFonts w:hint="eastAsia"/>
              </w:rPr>
            </w:pPr>
            <w:r>
              <w:rPr>
                <w:sz w:val="16"/>
              </w:rPr>
              <w:t>Confirm the resulting metadata state.</w:t>
            </w:r>
          </w:p>
        </w:tc>
      </w:tr>
      <w:tr w:rsidR="00B30D98">
        <w:trPr>
          <w:jc w:val="center"/>
        </w:trPr>
        <w:tc>
          <w:tcPr>
            <w:tcW w:w="3408" w:type="dxa"/>
            <w:vAlign w:val="center"/>
          </w:tcPr>
          <w:p w:rsidR="00B30D98" w:rsidRDefault="00D75835">
            <w:pPr>
              <w:rPr>
                <w:rFonts w:hint="eastAsia"/>
              </w:rPr>
            </w:pPr>
            <w:r>
              <w:rPr>
                <w:sz w:val="16"/>
              </w:rPr>
              <w:t>8</w:t>
            </w:r>
          </w:p>
        </w:tc>
        <w:tc>
          <w:tcPr>
            <w:tcW w:w="3408" w:type="dxa"/>
            <w:vAlign w:val="center"/>
          </w:tcPr>
          <w:p w:rsidR="00B30D98" w:rsidRDefault="00D75835">
            <w:pPr>
              <w:rPr>
                <w:rFonts w:hint="eastAsia"/>
              </w:rPr>
            </w:pPr>
            <w:r>
              <w:rPr>
                <w:sz w:val="16"/>
              </w:rPr>
              <w:t>BigQuery</w:t>
            </w:r>
          </w:p>
        </w:tc>
        <w:tc>
          <w:tcPr>
            <w:tcW w:w="3408" w:type="dxa"/>
            <w:vAlign w:val="center"/>
          </w:tcPr>
          <w:p w:rsidR="00B30D98" w:rsidRDefault="00D75835">
            <w:pPr>
              <w:rPr>
                <w:rFonts w:hint="eastAsia"/>
              </w:rPr>
            </w:pPr>
            <w:r>
              <w:rPr>
                <w:sz w:val="16"/>
              </w:rPr>
              <w:t>Persist snapshots, plans, execution and audit history.</w:t>
            </w:r>
          </w:p>
        </w:tc>
      </w:tr>
    </w:tbl>
    <w:p w:rsidR="00B30D98" w:rsidRDefault="00B30D98">
      <w:pPr>
        <w:rPr>
          <w:rFonts w:hint="eastAsia"/>
        </w:rPr>
      </w:pPr>
    </w:p>
    <w:p w:rsidR="00B30D98" w:rsidRDefault="00D75835">
      <w:pPr>
        <w:pStyle w:val="Heading2"/>
      </w:pPr>
      <w:r>
        <w:t>5.1 Brownfield Safety Controls</w:t>
      </w:r>
    </w:p>
    <w:p w:rsidR="00B30D98" w:rsidRDefault="00D75835">
      <w:pPr>
        <w:pStyle w:val="ListBullet"/>
        <w:rPr>
          <w:rFonts w:hint="eastAsia"/>
        </w:rPr>
      </w:pPr>
      <w:r>
        <w:t>Dry-run/planning capability before execution.</w:t>
      </w:r>
    </w:p>
    <w:p w:rsidR="00B30D98" w:rsidRDefault="00D75835">
      <w:pPr>
        <w:pStyle w:val="ListBullet"/>
        <w:rPr>
          <w:rFonts w:hint="eastAsia"/>
        </w:rPr>
      </w:pPr>
      <w:r>
        <w:t>Idempotent remediation - compliant resources require no ch</w:t>
      </w:r>
      <w:r>
        <w:t>ange.</w:t>
      </w:r>
    </w:p>
    <w:p w:rsidR="00B30D98" w:rsidRDefault="00D75835">
      <w:pPr>
        <w:pStyle w:val="ListBullet"/>
        <w:rPr>
          <w:rFonts w:hint="eastAsia"/>
        </w:rPr>
      </w:pPr>
      <w:r>
        <w:t>Per-resource capability checks before mutation.</w:t>
      </w:r>
    </w:p>
    <w:p w:rsidR="00B30D98" w:rsidRDefault="00D75835">
      <w:pPr>
        <w:pStyle w:val="ListBullet"/>
        <w:rPr>
          <w:rFonts w:hint="eastAsia"/>
        </w:rPr>
      </w:pPr>
      <w:r>
        <w:t>Controlled batching and retry behaviour.</w:t>
      </w:r>
    </w:p>
    <w:p w:rsidR="00B30D98" w:rsidRDefault="00D75835">
      <w:pPr>
        <w:pStyle w:val="ListBullet"/>
        <w:rPr>
          <w:rFonts w:hint="eastAsia"/>
        </w:rPr>
      </w:pPr>
      <w:r>
        <w:t>Execution result and error persistence.</w:t>
      </w:r>
    </w:p>
    <w:p w:rsidR="00B30D98" w:rsidRDefault="00D75835">
      <w:pPr>
        <w:pStyle w:val="ListBullet"/>
        <w:rPr>
          <w:rFonts w:hint="eastAsia"/>
        </w:rPr>
      </w:pPr>
      <w:r>
        <w:t>Explicit exclusions for platform-owned resources where required.</w:t>
      </w:r>
    </w:p>
    <w:p w:rsidR="00B30D98" w:rsidRDefault="00D75835">
      <w:pPr>
        <w:pStyle w:val="Heading1"/>
      </w:pPr>
      <w:r>
        <w:t>6. Greenfield Governance Design</w:t>
      </w:r>
    </w:p>
    <w:p w:rsidR="00B30D98" w:rsidRDefault="00D75835">
      <w:pPr>
        <w:rPr>
          <w:rFonts w:hint="eastAsia"/>
        </w:rPr>
      </w:pPr>
      <w:r>
        <w:t xml:space="preserve">Greenfield governance </w:t>
      </w:r>
      <w:r>
        <w:t>handles newly created resources in near real time. Verified Admin Activity resource-creation events are selected by an organisation aggregated Cloud Logging sink and delivered through Pub/Sub and Eventarc to the governance engine. The engine classifies the</w:t>
      </w:r>
      <w:r>
        <w:t xml:space="preserve"> resource, resolves expected metadata, evaluates compliance and invokes the supported enforcement path.</w:t>
      </w:r>
    </w:p>
    <w:tbl>
      <w:tblPr>
        <w:tblStyle w:val="TableGrid"/>
        <w:tblW w:w="0" w:type="auto"/>
        <w:jc w:val="center"/>
        <w:tblLook w:val="04A0" w:firstRow="1" w:lastRow="0" w:firstColumn="1" w:lastColumn="0" w:noHBand="0" w:noVBand="1"/>
      </w:tblPr>
      <w:tblGrid>
        <w:gridCol w:w="3408"/>
        <w:gridCol w:w="3408"/>
        <w:gridCol w:w="3408"/>
      </w:tblGrid>
      <w:tr w:rsidR="00B30D98">
        <w:trPr>
          <w:jc w:val="center"/>
        </w:trPr>
        <w:tc>
          <w:tcPr>
            <w:tcW w:w="3408" w:type="dxa"/>
            <w:shd w:val="clear" w:color="auto" w:fill="1F4E79"/>
          </w:tcPr>
          <w:p w:rsidR="00B30D98" w:rsidRDefault="00D75835">
            <w:pPr>
              <w:rPr>
                <w:rFonts w:hint="eastAsia"/>
              </w:rPr>
            </w:pPr>
            <w:r>
              <w:rPr>
                <w:b/>
                <w:color w:val="FFFFFF"/>
                <w:sz w:val="17"/>
              </w:rPr>
              <w:t>Stage</w:t>
            </w:r>
          </w:p>
        </w:tc>
        <w:tc>
          <w:tcPr>
            <w:tcW w:w="3408" w:type="dxa"/>
            <w:shd w:val="clear" w:color="auto" w:fill="1F4E79"/>
          </w:tcPr>
          <w:p w:rsidR="00B30D98" w:rsidRDefault="00D75835">
            <w:pPr>
              <w:rPr>
                <w:rFonts w:hint="eastAsia"/>
              </w:rPr>
            </w:pPr>
            <w:r>
              <w:rPr>
                <w:b/>
                <w:color w:val="FFFFFF"/>
                <w:sz w:val="17"/>
              </w:rPr>
              <w:t>Component</w:t>
            </w:r>
          </w:p>
        </w:tc>
        <w:tc>
          <w:tcPr>
            <w:tcW w:w="3408" w:type="dxa"/>
            <w:shd w:val="clear" w:color="auto" w:fill="1F4E79"/>
          </w:tcPr>
          <w:p w:rsidR="00B30D98" w:rsidRDefault="00D75835">
            <w:pPr>
              <w:rPr>
                <w:rFonts w:hint="eastAsia"/>
              </w:rPr>
            </w:pPr>
            <w:r>
              <w:rPr>
                <w:b/>
                <w:color w:val="FFFFFF"/>
                <w:sz w:val="17"/>
              </w:rPr>
              <w:t>Responsibility</w:t>
            </w:r>
          </w:p>
        </w:tc>
      </w:tr>
      <w:tr w:rsidR="00B30D98">
        <w:trPr>
          <w:jc w:val="center"/>
        </w:trPr>
        <w:tc>
          <w:tcPr>
            <w:tcW w:w="3408" w:type="dxa"/>
            <w:vAlign w:val="center"/>
          </w:tcPr>
          <w:p w:rsidR="00B30D98" w:rsidRDefault="00D75835">
            <w:pPr>
              <w:rPr>
                <w:rFonts w:hint="eastAsia"/>
              </w:rPr>
            </w:pPr>
            <w:r>
              <w:rPr>
                <w:sz w:val="16"/>
              </w:rPr>
              <w:t>1</w:t>
            </w:r>
          </w:p>
        </w:tc>
        <w:tc>
          <w:tcPr>
            <w:tcW w:w="3408" w:type="dxa"/>
            <w:vAlign w:val="center"/>
          </w:tcPr>
          <w:p w:rsidR="00B30D98" w:rsidRDefault="00D75835">
            <w:pPr>
              <w:rPr>
                <w:rFonts w:hint="eastAsia"/>
              </w:rPr>
            </w:pPr>
            <w:r>
              <w:rPr>
                <w:sz w:val="16"/>
              </w:rPr>
              <w:t>Cloud Audit Logs</w:t>
            </w:r>
          </w:p>
        </w:tc>
        <w:tc>
          <w:tcPr>
            <w:tcW w:w="3408" w:type="dxa"/>
            <w:vAlign w:val="center"/>
          </w:tcPr>
          <w:p w:rsidR="00B30D98" w:rsidRDefault="00D75835">
            <w:pPr>
              <w:rPr>
                <w:rFonts w:hint="eastAsia"/>
              </w:rPr>
            </w:pPr>
            <w:r>
              <w:rPr>
                <w:sz w:val="16"/>
              </w:rPr>
              <w:t>Emit Admin Activity for resource creation.</w:t>
            </w:r>
          </w:p>
        </w:tc>
      </w:tr>
      <w:tr w:rsidR="00B30D98">
        <w:trPr>
          <w:jc w:val="center"/>
        </w:trPr>
        <w:tc>
          <w:tcPr>
            <w:tcW w:w="3408" w:type="dxa"/>
            <w:vAlign w:val="center"/>
          </w:tcPr>
          <w:p w:rsidR="00B30D98" w:rsidRDefault="00D75835">
            <w:pPr>
              <w:rPr>
                <w:rFonts w:hint="eastAsia"/>
              </w:rPr>
            </w:pPr>
            <w:r>
              <w:rPr>
                <w:sz w:val="16"/>
              </w:rPr>
              <w:t>2</w:t>
            </w:r>
          </w:p>
        </w:tc>
        <w:tc>
          <w:tcPr>
            <w:tcW w:w="3408" w:type="dxa"/>
            <w:vAlign w:val="center"/>
          </w:tcPr>
          <w:p w:rsidR="00B30D98" w:rsidRDefault="00D75835">
            <w:pPr>
              <w:rPr>
                <w:rFonts w:hint="eastAsia"/>
              </w:rPr>
            </w:pPr>
            <w:r>
              <w:rPr>
                <w:sz w:val="16"/>
              </w:rPr>
              <w:t>Organisation aggregated sink</w:t>
            </w:r>
          </w:p>
        </w:tc>
        <w:tc>
          <w:tcPr>
            <w:tcW w:w="3408" w:type="dxa"/>
            <w:vAlign w:val="center"/>
          </w:tcPr>
          <w:p w:rsidR="00B30D98" w:rsidRDefault="00D75835">
            <w:pPr>
              <w:rPr>
                <w:rFonts w:hint="eastAsia"/>
              </w:rPr>
            </w:pPr>
            <w:r>
              <w:rPr>
                <w:sz w:val="16"/>
              </w:rPr>
              <w:t>Select only verified creat</w:t>
            </w:r>
            <w:r>
              <w:rPr>
                <w:sz w:val="16"/>
              </w:rPr>
              <w:t>ion operations.</w:t>
            </w:r>
          </w:p>
        </w:tc>
      </w:tr>
      <w:tr w:rsidR="00B30D98">
        <w:trPr>
          <w:jc w:val="center"/>
        </w:trPr>
        <w:tc>
          <w:tcPr>
            <w:tcW w:w="3408" w:type="dxa"/>
            <w:vAlign w:val="center"/>
          </w:tcPr>
          <w:p w:rsidR="00B30D98" w:rsidRDefault="00D75835">
            <w:pPr>
              <w:rPr>
                <w:rFonts w:hint="eastAsia"/>
              </w:rPr>
            </w:pPr>
            <w:r>
              <w:rPr>
                <w:sz w:val="16"/>
              </w:rPr>
              <w:t>3</w:t>
            </w:r>
          </w:p>
        </w:tc>
        <w:tc>
          <w:tcPr>
            <w:tcW w:w="3408" w:type="dxa"/>
            <w:vAlign w:val="center"/>
          </w:tcPr>
          <w:p w:rsidR="00B30D98" w:rsidRDefault="00D75835">
            <w:pPr>
              <w:rPr>
                <w:rFonts w:hint="eastAsia"/>
              </w:rPr>
            </w:pPr>
            <w:r>
              <w:rPr>
                <w:sz w:val="16"/>
              </w:rPr>
              <w:t>Pub/Sub</w:t>
            </w:r>
          </w:p>
        </w:tc>
        <w:tc>
          <w:tcPr>
            <w:tcW w:w="3408" w:type="dxa"/>
            <w:vAlign w:val="center"/>
          </w:tcPr>
          <w:p w:rsidR="00B30D98" w:rsidRDefault="00D75835">
            <w:pPr>
              <w:rPr>
                <w:rFonts w:hint="eastAsia"/>
              </w:rPr>
            </w:pPr>
            <w:r>
              <w:rPr>
                <w:sz w:val="16"/>
              </w:rPr>
              <w:t>Provide central event transport.</w:t>
            </w:r>
          </w:p>
        </w:tc>
      </w:tr>
      <w:tr w:rsidR="00B30D98">
        <w:trPr>
          <w:jc w:val="center"/>
        </w:trPr>
        <w:tc>
          <w:tcPr>
            <w:tcW w:w="3408" w:type="dxa"/>
            <w:vAlign w:val="center"/>
          </w:tcPr>
          <w:p w:rsidR="00B30D98" w:rsidRDefault="00D75835">
            <w:pPr>
              <w:rPr>
                <w:rFonts w:hint="eastAsia"/>
              </w:rPr>
            </w:pPr>
            <w:r>
              <w:rPr>
                <w:sz w:val="16"/>
              </w:rPr>
              <w:t>4</w:t>
            </w:r>
          </w:p>
        </w:tc>
        <w:tc>
          <w:tcPr>
            <w:tcW w:w="3408" w:type="dxa"/>
            <w:vAlign w:val="center"/>
          </w:tcPr>
          <w:p w:rsidR="00B30D98" w:rsidRDefault="00D75835">
            <w:pPr>
              <w:rPr>
                <w:rFonts w:hint="eastAsia"/>
              </w:rPr>
            </w:pPr>
            <w:r>
              <w:rPr>
                <w:sz w:val="16"/>
              </w:rPr>
              <w:t>Eventarc</w:t>
            </w:r>
          </w:p>
        </w:tc>
        <w:tc>
          <w:tcPr>
            <w:tcW w:w="3408" w:type="dxa"/>
            <w:vAlign w:val="center"/>
          </w:tcPr>
          <w:p w:rsidR="00B30D98" w:rsidRDefault="00D75835">
            <w:pPr>
              <w:rPr>
                <w:rFonts w:hint="eastAsia"/>
              </w:rPr>
            </w:pPr>
            <w:r>
              <w:rPr>
                <w:sz w:val="16"/>
              </w:rPr>
              <w:t>Deliver authenticated events to Cloud Run.</w:t>
            </w:r>
          </w:p>
        </w:tc>
      </w:tr>
      <w:tr w:rsidR="00B30D98">
        <w:trPr>
          <w:jc w:val="center"/>
        </w:trPr>
        <w:tc>
          <w:tcPr>
            <w:tcW w:w="3408" w:type="dxa"/>
            <w:vAlign w:val="center"/>
          </w:tcPr>
          <w:p w:rsidR="00B30D98" w:rsidRDefault="00D75835">
            <w:pPr>
              <w:rPr>
                <w:rFonts w:hint="eastAsia"/>
              </w:rPr>
            </w:pPr>
            <w:r>
              <w:rPr>
                <w:sz w:val="16"/>
              </w:rPr>
              <w:t>5</w:t>
            </w:r>
          </w:p>
        </w:tc>
        <w:tc>
          <w:tcPr>
            <w:tcW w:w="3408" w:type="dxa"/>
            <w:vAlign w:val="center"/>
          </w:tcPr>
          <w:p w:rsidR="00B30D98" w:rsidRDefault="00D75835">
            <w:pPr>
              <w:rPr>
                <w:rFonts w:hint="eastAsia"/>
              </w:rPr>
            </w:pPr>
            <w:r>
              <w:rPr>
                <w:sz w:val="16"/>
              </w:rPr>
              <w:t>Cloud Run Engine</w:t>
            </w:r>
          </w:p>
        </w:tc>
        <w:tc>
          <w:tcPr>
            <w:tcW w:w="3408" w:type="dxa"/>
            <w:vAlign w:val="center"/>
          </w:tcPr>
          <w:p w:rsidR="00B30D98" w:rsidRDefault="00D75835">
            <w:pPr>
              <w:rPr>
                <w:rFonts w:hint="eastAsia"/>
              </w:rPr>
            </w:pPr>
            <w:r>
              <w:rPr>
                <w:sz w:val="16"/>
              </w:rPr>
              <w:t>Classify, resolve registry metadata and evaluate compliance.</w:t>
            </w:r>
          </w:p>
        </w:tc>
      </w:tr>
      <w:tr w:rsidR="00B30D98">
        <w:trPr>
          <w:jc w:val="center"/>
        </w:trPr>
        <w:tc>
          <w:tcPr>
            <w:tcW w:w="3408" w:type="dxa"/>
            <w:vAlign w:val="center"/>
          </w:tcPr>
          <w:p w:rsidR="00B30D98" w:rsidRDefault="00D75835">
            <w:pPr>
              <w:rPr>
                <w:rFonts w:hint="eastAsia"/>
              </w:rPr>
            </w:pPr>
            <w:r>
              <w:rPr>
                <w:sz w:val="16"/>
              </w:rPr>
              <w:t>6</w:t>
            </w:r>
          </w:p>
        </w:tc>
        <w:tc>
          <w:tcPr>
            <w:tcW w:w="3408" w:type="dxa"/>
            <w:vAlign w:val="center"/>
          </w:tcPr>
          <w:p w:rsidR="00B30D98" w:rsidRDefault="00D75835">
            <w:pPr>
              <w:rPr>
                <w:rFonts w:hint="eastAsia"/>
              </w:rPr>
            </w:pPr>
            <w:r>
              <w:rPr>
                <w:sz w:val="16"/>
              </w:rPr>
              <w:t>Adapter/Executor</w:t>
            </w:r>
          </w:p>
        </w:tc>
        <w:tc>
          <w:tcPr>
            <w:tcW w:w="3408" w:type="dxa"/>
            <w:vAlign w:val="center"/>
          </w:tcPr>
          <w:p w:rsidR="00B30D98" w:rsidRDefault="00D75835">
            <w:pPr>
              <w:rPr>
                <w:rFonts w:hint="eastAsia"/>
              </w:rPr>
            </w:pPr>
            <w:r>
              <w:rPr>
                <w:sz w:val="16"/>
              </w:rPr>
              <w:t>Apply verified label/tag updates.</w:t>
            </w:r>
          </w:p>
        </w:tc>
      </w:tr>
      <w:tr w:rsidR="00B30D98">
        <w:trPr>
          <w:jc w:val="center"/>
        </w:trPr>
        <w:tc>
          <w:tcPr>
            <w:tcW w:w="3408" w:type="dxa"/>
            <w:vAlign w:val="center"/>
          </w:tcPr>
          <w:p w:rsidR="00B30D98" w:rsidRDefault="00D75835">
            <w:pPr>
              <w:rPr>
                <w:rFonts w:hint="eastAsia"/>
              </w:rPr>
            </w:pPr>
            <w:r>
              <w:rPr>
                <w:sz w:val="16"/>
              </w:rPr>
              <w:t>7</w:t>
            </w:r>
          </w:p>
        </w:tc>
        <w:tc>
          <w:tcPr>
            <w:tcW w:w="3408" w:type="dxa"/>
            <w:vAlign w:val="center"/>
          </w:tcPr>
          <w:p w:rsidR="00B30D98" w:rsidRDefault="00D75835">
            <w:pPr>
              <w:rPr>
                <w:rFonts w:hint="eastAsia"/>
              </w:rPr>
            </w:pPr>
            <w:r>
              <w:rPr>
                <w:sz w:val="16"/>
              </w:rPr>
              <w:t>BigQuery</w:t>
            </w:r>
          </w:p>
        </w:tc>
        <w:tc>
          <w:tcPr>
            <w:tcW w:w="3408" w:type="dxa"/>
            <w:vAlign w:val="center"/>
          </w:tcPr>
          <w:p w:rsidR="00B30D98" w:rsidRDefault="00D75835">
            <w:pPr>
              <w:rPr>
                <w:rFonts w:hint="eastAsia"/>
              </w:rPr>
            </w:pPr>
            <w:r>
              <w:rPr>
                <w:sz w:val="16"/>
              </w:rPr>
              <w:t>Persist execution outcome for reporting.</w:t>
            </w:r>
          </w:p>
        </w:tc>
      </w:tr>
    </w:tbl>
    <w:p w:rsidR="00B30D98" w:rsidRDefault="00B30D98">
      <w:pPr>
        <w:rPr>
          <w:rFonts w:hint="eastAsia"/>
        </w:rPr>
      </w:pPr>
    </w:p>
    <w:p w:rsidR="00B30D98" w:rsidRDefault="00D75835">
      <w:pPr>
        <w:rPr>
          <w:rFonts w:hint="eastAsia"/>
        </w:rPr>
      </w:pPr>
      <w:r>
        <w:t>The event filter must be expanded conservatively. A resource family is enabled only after its creation audit method and metadata update mechanism are verified.</w:t>
      </w:r>
    </w:p>
    <w:p w:rsidR="00B30D98" w:rsidRDefault="00D75835">
      <w:pPr>
        <w:rPr>
          <w:rFonts w:hint="eastAsia"/>
        </w:rPr>
      </w:pPr>
      <w:r>
        <w:br w:type="page"/>
      </w:r>
    </w:p>
    <w:p w:rsidR="004C5647" w:rsidRDefault="004C5647">
      <w:pPr>
        <w:pStyle w:val="Heading1"/>
      </w:pPr>
    </w:p>
    <w:p w:rsidR="00B30D98" w:rsidRDefault="00D75835">
      <w:pPr>
        <w:pStyle w:val="Heading1"/>
      </w:pPr>
      <w:r>
        <w:t>7. Resource Capability and Adapter Model</w:t>
      </w:r>
    </w:p>
    <w:p w:rsidR="00B30D98" w:rsidRDefault="00D75835">
      <w:pPr>
        <w:rPr>
          <w:rFonts w:hint="eastAsia"/>
        </w:rPr>
      </w:pPr>
      <w:r>
        <w:t>D</w:t>
      </w:r>
      <w:r>
        <w:t>ifferent GCP services expose different metadata APIs. The governance engine therefore delegates mutation to resource-specific adapters instead of embedding service-specific API behaviour in the core workflow.</w:t>
      </w:r>
    </w:p>
    <w:tbl>
      <w:tblPr>
        <w:tblStyle w:val="TableGrid"/>
        <w:tblW w:w="0" w:type="auto"/>
        <w:jc w:val="center"/>
        <w:tblLook w:val="04A0" w:firstRow="1" w:lastRow="0" w:firstColumn="1" w:lastColumn="0" w:noHBand="0" w:noVBand="1"/>
      </w:tblPr>
      <w:tblGrid>
        <w:gridCol w:w="3408"/>
        <w:gridCol w:w="3408"/>
        <w:gridCol w:w="3408"/>
      </w:tblGrid>
      <w:tr w:rsidR="00B30D98">
        <w:trPr>
          <w:jc w:val="center"/>
        </w:trPr>
        <w:tc>
          <w:tcPr>
            <w:tcW w:w="3408" w:type="dxa"/>
            <w:shd w:val="clear" w:color="auto" w:fill="1F4E79"/>
          </w:tcPr>
          <w:p w:rsidR="00B30D98" w:rsidRDefault="00D75835">
            <w:pPr>
              <w:rPr>
                <w:rFonts w:hint="eastAsia"/>
              </w:rPr>
            </w:pPr>
            <w:r>
              <w:rPr>
                <w:b/>
                <w:color w:val="FFFFFF"/>
                <w:sz w:val="17"/>
              </w:rPr>
              <w:t>Resource Family</w:t>
            </w:r>
          </w:p>
        </w:tc>
        <w:tc>
          <w:tcPr>
            <w:tcW w:w="3408" w:type="dxa"/>
            <w:shd w:val="clear" w:color="auto" w:fill="1F4E79"/>
          </w:tcPr>
          <w:p w:rsidR="00B30D98" w:rsidRDefault="00D75835">
            <w:pPr>
              <w:rPr>
                <w:rFonts w:hint="eastAsia"/>
              </w:rPr>
            </w:pPr>
            <w:r>
              <w:rPr>
                <w:b/>
                <w:color w:val="FFFFFF"/>
                <w:sz w:val="17"/>
              </w:rPr>
              <w:t>Governance Mechanism</w:t>
            </w:r>
          </w:p>
        </w:tc>
        <w:tc>
          <w:tcPr>
            <w:tcW w:w="3408" w:type="dxa"/>
            <w:shd w:val="clear" w:color="auto" w:fill="1F4E79"/>
          </w:tcPr>
          <w:p w:rsidR="00B30D98" w:rsidRDefault="00D75835">
            <w:pPr>
              <w:rPr>
                <w:rFonts w:hint="eastAsia"/>
              </w:rPr>
            </w:pPr>
            <w:r>
              <w:rPr>
                <w:b/>
                <w:color w:val="FFFFFF"/>
                <w:sz w:val="17"/>
              </w:rPr>
              <w:t xml:space="preserve">Design </w:t>
            </w:r>
            <w:r>
              <w:rPr>
                <w:b/>
                <w:color w:val="FFFFFF"/>
                <w:sz w:val="17"/>
              </w:rPr>
              <w:t>Status</w:t>
            </w:r>
          </w:p>
        </w:tc>
      </w:tr>
      <w:tr w:rsidR="00B30D98">
        <w:trPr>
          <w:jc w:val="center"/>
        </w:trPr>
        <w:tc>
          <w:tcPr>
            <w:tcW w:w="3408" w:type="dxa"/>
            <w:vAlign w:val="center"/>
          </w:tcPr>
          <w:p w:rsidR="00B30D98" w:rsidRDefault="00D75835">
            <w:pPr>
              <w:rPr>
                <w:rFonts w:hint="eastAsia"/>
              </w:rPr>
            </w:pPr>
            <w:r>
              <w:rPr>
                <w:sz w:val="16"/>
              </w:rPr>
              <w:t>Compute Engine instances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Compute Engine disks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Cloud Storage buckets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BigQuery datasets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Pub/Sub topics</w:t>
            </w:r>
          </w:p>
        </w:tc>
        <w:tc>
          <w:tcPr>
            <w:tcW w:w="3408" w:type="dxa"/>
            <w:vAlign w:val="center"/>
          </w:tcPr>
          <w:p w:rsidR="00B30D98" w:rsidRDefault="00D75835">
            <w:pPr>
              <w:rPr>
                <w:rFonts w:hint="eastAsia"/>
              </w:rPr>
            </w:pPr>
            <w:r>
              <w:rPr>
                <w:sz w:val="16"/>
              </w:rPr>
              <w:t>Resource Manager Tags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Artifact Registry repositories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Cloud SQL instances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Secret Manager secrets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Cloud KMS crypto keys</w:t>
            </w:r>
          </w:p>
        </w:tc>
        <w:tc>
          <w:tcPr>
            <w:tcW w:w="3408" w:type="dxa"/>
            <w:vAlign w:val="center"/>
          </w:tcPr>
          <w:p w:rsidR="00B30D98" w:rsidRDefault="00D75835">
            <w:pPr>
              <w:rPr>
                <w:rFonts w:hint="eastAsia"/>
              </w:rPr>
            </w:pPr>
            <w:r>
              <w:rPr>
                <w:sz w:val="16"/>
              </w:rPr>
              <w:t>Labels</w:t>
            </w:r>
          </w:p>
        </w:tc>
        <w:tc>
          <w:tcPr>
            <w:tcW w:w="3408" w:type="dxa"/>
            <w:vAlign w:val="center"/>
          </w:tcPr>
          <w:p w:rsidR="00B30D98" w:rsidRDefault="00D75835">
            <w:pPr>
              <w:rPr>
                <w:rFonts w:hint="eastAsia"/>
              </w:rPr>
            </w:pPr>
            <w:r>
              <w:rPr>
                <w:sz w:val="16"/>
              </w:rPr>
              <w:t>Supported</w:t>
            </w:r>
          </w:p>
        </w:tc>
      </w:tr>
      <w:tr w:rsidR="00B30D98">
        <w:trPr>
          <w:jc w:val="center"/>
        </w:trPr>
        <w:tc>
          <w:tcPr>
            <w:tcW w:w="3408" w:type="dxa"/>
            <w:vAlign w:val="center"/>
          </w:tcPr>
          <w:p w:rsidR="00B30D98" w:rsidRDefault="00D75835">
            <w:pPr>
              <w:rPr>
                <w:rFonts w:hint="eastAsia"/>
              </w:rPr>
            </w:pPr>
            <w:r>
              <w:rPr>
                <w:sz w:val="16"/>
              </w:rPr>
              <w:t>Compute forwarding rules</w:t>
            </w:r>
          </w:p>
        </w:tc>
        <w:tc>
          <w:tcPr>
            <w:tcW w:w="3408" w:type="dxa"/>
            <w:vAlign w:val="center"/>
          </w:tcPr>
          <w:p w:rsidR="00B30D98" w:rsidRDefault="00D75835">
            <w:pPr>
              <w:rPr>
                <w:rFonts w:hint="eastAsia"/>
              </w:rPr>
            </w:pPr>
            <w:r>
              <w:rPr>
                <w:sz w:val="16"/>
              </w:rPr>
              <w:t>Resource Manager Tags</w:t>
            </w:r>
          </w:p>
        </w:tc>
        <w:tc>
          <w:tcPr>
            <w:tcW w:w="3408" w:type="dxa"/>
            <w:vAlign w:val="center"/>
          </w:tcPr>
          <w:p w:rsidR="00B30D98" w:rsidRDefault="00D75835">
            <w:pPr>
              <w:rPr>
                <w:rFonts w:hint="eastAsia"/>
              </w:rPr>
            </w:pPr>
            <w:r>
              <w:rPr>
                <w:sz w:val="16"/>
              </w:rPr>
              <w:t>Supported</w:t>
            </w:r>
          </w:p>
        </w:tc>
      </w:tr>
    </w:tbl>
    <w:p w:rsidR="00B30D98" w:rsidRDefault="00B30D98">
      <w:pPr>
        <w:rPr>
          <w:rFonts w:hint="eastAsia"/>
        </w:rPr>
      </w:pPr>
    </w:p>
    <w:p w:rsidR="00B30D98" w:rsidRDefault="00D75835">
      <w:pPr>
        <w:rPr>
          <w:rFonts w:hint="eastAsia"/>
        </w:rPr>
      </w:pPr>
      <w:r>
        <w:t xml:space="preserve">The supported-resource catalogue is a controlled production </w:t>
      </w:r>
      <w:r>
        <w:t>artefact. New resource types should pass capability verification, adapter testing, IAM review, greenfield audit-event verification and non-destructive test execution before being enabled.</w:t>
      </w:r>
    </w:p>
    <w:p w:rsidR="00B30D98" w:rsidRDefault="00D75835">
      <w:pPr>
        <w:pStyle w:val="Heading1"/>
      </w:pPr>
      <w:r>
        <w:t>8. Security and IAM Architecture</w:t>
      </w:r>
    </w:p>
    <w:p w:rsidR="00B30D98" w:rsidRDefault="00D75835">
      <w:pPr>
        <w:rPr>
          <w:rFonts w:hint="eastAsia"/>
        </w:rPr>
      </w:pPr>
      <w:r>
        <w:t xml:space="preserve">Security is based on separation of </w:t>
      </w:r>
      <w:r>
        <w:t>duties and least privilege. The dashboard is a read-only presentation path. The governance engine and worker are machine services. Human users do not require remediation permissions merely to view compliance.</w:t>
      </w:r>
    </w:p>
    <w:tbl>
      <w:tblPr>
        <w:tblStyle w:val="TableGrid"/>
        <w:tblW w:w="0" w:type="auto"/>
        <w:jc w:val="center"/>
        <w:tblLook w:val="04A0" w:firstRow="1" w:lastRow="0" w:firstColumn="1" w:lastColumn="0" w:noHBand="0" w:noVBand="1"/>
      </w:tblPr>
      <w:tblGrid>
        <w:gridCol w:w="3408"/>
        <w:gridCol w:w="3408"/>
        <w:gridCol w:w="3408"/>
      </w:tblGrid>
      <w:tr w:rsidR="00B30D98">
        <w:trPr>
          <w:jc w:val="center"/>
        </w:trPr>
        <w:tc>
          <w:tcPr>
            <w:tcW w:w="3408" w:type="dxa"/>
            <w:shd w:val="clear" w:color="auto" w:fill="1F4E79"/>
          </w:tcPr>
          <w:p w:rsidR="00B30D98" w:rsidRDefault="00D75835">
            <w:pPr>
              <w:rPr>
                <w:rFonts w:hint="eastAsia"/>
              </w:rPr>
            </w:pPr>
            <w:r>
              <w:rPr>
                <w:b/>
                <w:color w:val="FFFFFF"/>
                <w:sz w:val="17"/>
              </w:rPr>
              <w:t>Principal / Service</w:t>
            </w:r>
          </w:p>
        </w:tc>
        <w:tc>
          <w:tcPr>
            <w:tcW w:w="3408" w:type="dxa"/>
            <w:shd w:val="clear" w:color="auto" w:fill="1F4E79"/>
          </w:tcPr>
          <w:p w:rsidR="00B30D98" w:rsidRDefault="00D75835">
            <w:pPr>
              <w:rPr>
                <w:rFonts w:hint="eastAsia"/>
              </w:rPr>
            </w:pPr>
            <w:r>
              <w:rPr>
                <w:b/>
                <w:color w:val="FFFFFF"/>
                <w:sz w:val="17"/>
              </w:rPr>
              <w:t>Purpose</w:t>
            </w:r>
          </w:p>
        </w:tc>
        <w:tc>
          <w:tcPr>
            <w:tcW w:w="3408" w:type="dxa"/>
            <w:shd w:val="clear" w:color="auto" w:fill="1F4E79"/>
          </w:tcPr>
          <w:p w:rsidR="00B30D98" w:rsidRDefault="00D75835">
            <w:pPr>
              <w:rPr>
                <w:rFonts w:hint="eastAsia"/>
              </w:rPr>
            </w:pPr>
            <w:r>
              <w:rPr>
                <w:b/>
                <w:color w:val="FFFFFF"/>
                <w:sz w:val="17"/>
              </w:rPr>
              <w:t>Required Boundary</w:t>
            </w:r>
          </w:p>
        </w:tc>
      </w:tr>
      <w:tr w:rsidR="00B30D98">
        <w:trPr>
          <w:jc w:val="center"/>
        </w:trPr>
        <w:tc>
          <w:tcPr>
            <w:tcW w:w="3408" w:type="dxa"/>
            <w:vAlign w:val="center"/>
          </w:tcPr>
          <w:p w:rsidR="00B30D98" w:rsidRDefault="00D75835">
            <w:pPr>
              <w:rPr>
                <w:rFonts w:hint="eastAsia"/>
              </w:rPr>
            </w:pPr>
            <w:r>
              <w:rPr>
                <w:sz w:val="16"/>
              </w:rPr>
              <w:t>Organisation dashboard group</w:t>
            </w:r>
          </w:p>
        </w:tc>
        <w:tc>
          <w:tcPr>
            <w:tcW w:w="3408" w:type="dxa"/>
            <w:vAlign w:val="center"/>
          </w:tcPr>
          <w:p w:rsidR="00B30D98" w:rsidRDefault="00D75835">
            <w:pPr>
              <w:rPr>
                <w:rFonts w:hint="eastAsia"/>
              </w:rPr>
            </w:pPr>
            <w:r>
              <w:rPr>
                <w:sz w:val="16"/>
              </w:rPr>
              <w:t>View dashboard</w:t>
            </w:r>
          </w:p>
        </w:tc>
        <w:tc>
          <w:tcPr>
            <w:tcW w:w="3408" w:type="dxa"/>
            <w:vAlign w:val="center"/>
          </w:tcPr>
          <w:p w:rsidR="00B30D98" w:rsidRDefault="00D75835">
            <w:pPr>
              <w:rPr>
                <w:rFonts w:hint="eastAsia"/>
              </w:rPr>
            </w:pPr>
            <w:r>
              <w:rPr>
                <w:sz w:val="16"/>
              </w:rPr>
              <w:t>Authenticated through IAP; read-only user experience.</w:t>
            </w:r>
          </w:p>
        </w:tc>
      </w:tr>
      <w:tr w:rsidR="00B30D98">
        <w:trPr>
          <w:jc w:val="center"/>
        </w:trPr>
        <w:tc>
          <w:tcPr>
            <w:tcW w:w="3408" w:type="dxa"/>
            <w:vAlign w:val="center"/>
          </w:tcPr>
          <w:p w:rsidR="00B30D98" w:rsidRDefault="00D75835">
            <w:pPr>
              <w:rPr>
                <w:rFonts w:hint="eastAsia"/>
              </w:rPr>
            </w:pPr>
            <w:r>
              <w:rPr>
                <w:sz w:val="16"/>
              </w:rPr>
              <w:t>Dashboard Cloud Run SA</w:t>
            </w:r>
          </w:p>
        </w:tc>
        <w:tc>
          <w:tcPr>
            <w:tcW w:w="3408" w:type="dxa"/>
            <w:vAlign w:val="center"/>
          </w:tcPr>
          <w:p w:rsidR="00B30D98" w:rsidRDefault="00D75835">
            <w:pPr>
              <w:rPr>
                <w:rFonts w:hint="eastAsia"/>
              </w:rPr>
            </w:pPr>
            <w:r>
              <w:rPr>
                <w:sz w:val="16"/>
              </w:rPr>
              <w:t>Serve reporting UI/API</w:t>
            </w:r>
          </w:p>
        </w:tc>
        <w:tc>
          <w:tcPr>
            <w:tcW w:w="3408" w:type="dxa"/>
            <w:vAlign w:val="center"/>
          </w:tcPr>
          <w:p w:rsidR="00B30D98" w:rsidRDefault="00D75835">
            <w:pPr>
              <w:rPr>
                <w:rFonts w:hint="eastAsia"/>
              </w:rPr>
            </w:pPr>
            <w:r>
              <w:rPr>
                <w:sz w:val="16"/>
              </w:rPr>
              <w:t>Read-only BigQuery/reporting access; no resource mutation.</w:t>
            </w:r>
          </w:p>
        </w:tc>
      </w:tr>
      <w:tr w:rsidR="00B30D98">
        <w:trPr>
          <w:jc w:val="center"/>
        </w:trPr>
        <w:tc>
          <w:tcPr>
            <w:tcW w:w="3408" w:type="dxa"/>
            <w:vAlign w:val="center"/>
          </w:tcPr>
          <w:p w:rsidR="00B30D98" w:rsidRDefault="00D75835">
            <w:pPr>
              <w:rPr>
                <w:rFonts w:hint="eastAsia"/>
              </w:rPr>
            </w:pPr>
            <w:r>
              <w:rPr>
                <w:sz w:val="16"/>
              </w:rPr>
              <w:t>Governance Engine SA</w:t>
            </w:r>
          </w:p>
        </w:tc>
        <w:tc>
          <w:tcPr>
            <w:tcW w:w="3408" w:type="dxa"/>
            <w:vAlign w:val="center"/>
          </w:tcPr>
          <w:p w:rsidR="00B30D98" w:rsidRDefault="00D75835">
            <w:pPr>
              <w:rPr>
                <w:rFonts w:hint="eastAsia"/>
              </w:rPr>
            </w:pPr>
            <w:r>
              <w:rPr>
                <w:sz w:val="16"/>
              </w:rPr>
              <w:t>Discovery, classification, pla</w:t>
            </w:r>
            <w:r>
              <w:rPr>
                <w:sz w:val="16"/>
              </w:rPr>
              <w:t>nning</w:t>
            </w:r>
          </w:p>
        </w:tc>
        <w:tc>
          <w:tcPr>
            <w:tcW w:w="3408" w:type="dxa"/>
            <w:vAlign w:val="center"/>
          </w:tcPr>
          <w:p w:rsidR="00B30D98" w:rsidRDefault="00D75835">
            <w:pPr>
              <w:rPr>
                <w:rFonts w:hint="eastAsia"/>
              </w:rPr>
            </w:pPr>
            <w:r>
              <w:rPr>
                <w:sz w:val="16"/>
              </w:rPr>
              <w:t>Only APIs and data needed by the engine.</w:t>
            </w:r>
          </w:p>
        </w:tc>
      </w:tr>
      <w:tr w:rsidR="00B30D98">
        <w:trPr>
          <w:jc w:val="center"/>
        </w:trPr>
        <w:tc>
          <w:tcPr>
            <w:tcW w:w="3408" w:type="dxa"/>
            <w:vAlign w:val="center"/>
          </w:tcPr>
          <w:p w:rsidR="00B30D98" w:rsidRDefault="00D75835">
            <w:pPr>
              <w:rPr>
                <w:rFonts w:hint="eastAsia"/>
              </w:rPr>
            </w:pPr>
            <w:r>
              <w:rPr>
                <w:sz w:val="16"/>
              </w:rPr>
              <w:t>Worker/Remediation SA</w:t>
            </w:r>
          </w:p>
        </w:tc>
        <w:tc>
          <w:tcPr>
            <w:tcW w:w="3408" w:type="dxa"/>
            <w:vAlign w:val="center"/>
          </w:tcPr>
          <w:p w:rsidR="00B30D98" w:rsidRDefault="00D75835">
            <w:pPr>
              <w:rPr>
                <w:rFonts w:hint="eastAsia"/>
              </w:rPr>
            </w:pPr>
            <w:r>
              <w:rPr>
                <w:sz w:val="16"/>
              </w:rPr>
              <w:t>Apply metadata</w:t>
            </w:r>
          </w:p>
        </w:tc>
        <w:tc>
          <w:tcPr>
            <w:tcW w:w="3408" w:type="dxa"/>
            <w:vAlign w:val="center"/>
          </w:tcPr>
          <w:p w:rsidR="00B30D98" w:rsidRDefault="00D75835">
            <w:pPr>
              <w:rPr>
                <w:rFonts w:hint="eastAsia"/>
              </w:rPr>
            </w:pPr>
            <w:r>
              <w:rPr>
                <w:sz w:val="16"/>
              </w:rPr>
              <w:t>Narrow mutation permissions for enabled resource families.</w:t>
            </w:r>
          </w:p>
        </w:tc>
      </w:tr>
      <w:tr w:rsidR="00B30D98">
        <w:trPr>
          <w:jc w:val="center"/>
        </w:trPr>
        <w:tc>
          <w:tcPr>
            <w:tcW w:w="3408" w:type="dxa"/>
            <w:vAlign w:val="center"/>
          </w:tcPr>
          <w:p w:rsidR="00B30D98" w:rsidRDefault="00D75835">
            <w:pPr>
              <w:rPr>
                <w:rFonts w:hint="eastAsia"/>
              </w:rPr>
            </w:pPr>
            <w:r>
              <w:rPr>
                <w:sz w:val="16"/>
              </w:rPr>
              <w:t>Eventarc SA</w:t>
            </w:r>
          </w:p>
        </w:tc>
        <w:tc>
          <w:tcPr>
            <w:tcW w:w="3408" w:type="dxa"/>
            <w:vAlign w:val="center"/>
          </w:tcPr>
          <w:p w:rsidR="00B30D98" w:rsidRDefault="00D75835">
            <w:pPr>
              <w:rPr>
                <w:rFonts w:hint="eastAsia"/>
              </w:rPr>
            </w:pPr>
            <w:r>
              <w:rPr>
                <w:sz w:val="16"/>
              </w:rPr>
              <w:t>Deliver events</w:t>
            </w:r>
          </w:p>
        </w:tc>
        <w:tc>
          <w:tcPr>
            <w:tcW w:w="3408" w:type="dxa"/>
            <w:vAlign w:val="center"/>
          </w:tcPr>
          <w:p w:rsidR="00B30D98" w:rsidRDefault="00D75835">
            <w:pPr>
              <w:rPr>
                <w:rFonts w:hint="eastAsia"/>
              </w:rPr>
            </w:pPr>
            <w:r>
              <w:rPr>
                <w:sz w:val="16"/>
              </w:rPr>
              <w:t>Authenticated invocation only.</w:t>
            </w:r>
          </w:p>
        </w:tc>
      </w:tr>
      <w:tr w:rsidR="00B30D98">
        <w:trPr>
          <w:jc w:val="center"/>
        </w:trPr>
        <w:tc>
          <w:tcPr>
            <w:tcW w:w="3408" w:type="dxa"/>
            <w:vAlign w:val="center"/>
          </w:tcPr>
          <w:p w:rsidR="00B30D98" w:rsidRDefault="00D75835">
            <w:pPr>
              <w:rPr>
                <w:rFonts w:hint="eastAsia"/>
              </w:rPr>
            </w:pPr>
            <w:r>
              <w:rPr>
                <w:sz w:val="16"/>
              </w:rPr>
              <w:t>Cloud Tasks caller SA</w:t>
            </w:r>
          </w:p>
        </w:tc>
        <w:tc>
          <w:tcPr>
            <w:tcW w:w="3408" w:type="dxa"/>
            <w:vAlign w:val="center"/>
          </w:tcPr>
          <w:p w:rsidR="00B30D98" w:rsidRDefault="00D75835">
            <w:pPr>
              <w:rPr>
                <w:rFonts w:hint="eastAsia"/>
              </w:rPr>
            </w:pPr>
            <w:r>
              <w:rPr>
                <w:sz w:val="16"/>
              </w:rPr>
              <w:t>Invoke worker</w:t>
            </w:r>
          </w:p>
        </w:tc>
        <w:tc>
          <w:tcPr>
            <w:tcW w:w="3408" w:type="dxa"/>
            <w:vAlign w:val="center"/>
          </w:tcPr>
          <w:p w:rsidR="00B30D98" w:rsidRDefault="00D75835">
            <w:pPr>
              <w:rPr>
                <w:rFonts w:hint="eastAsia"/>
              </w:rPr>
            </w:pPr>
            <w:r>
              <w:rPr>
                <w:sz w:val="16"/>
              </w:rPr>
              <w:t xml:space="preserve">Authenticated </w:t>
            </w:r>
            <w:r>
              <w:rPr>
                <w:sz w:val="16"/>
              </w:rPr>
              <w:t>worker invocation; no human access.</w:t>
            </w:r>
          </w:p>
        </w:tc>
      </w:tr>
      <w:tr w:rsidR="00B30D98">
        <w:trPr>
          <w:jc w:val="center"/>
        </w:trPr>
        <w:tc>
          <w:tcPr>
            <w:tcW w:w="3408" w:type="dxa"/>
            <w:vAlign w:val="center"/>
          </w:tcPr>
          <w:p w:rsidR="00B30D98" w:rsidRDefault="00D75835">
            <w:pPr>
              <w:rPr>
                <w:rFonts w:hint="eastAsia"/>
              </w:rPr>
            </w:pPr>
            <w:r>
              <w:rPr>
                <w:sz w:val="16"/>
              </w:rPr>
              <w:t>CI/CD identity</w:t>
            </w:r>
          </w:p>
        </w:tc>
        <w:tc>
          <w:tcPr>
            <w:tcW w:w="3408" w:type="dxa"/>
            <w:vAlign w:val="center"/>
          </w:tcPr>
          <w:p w:rsidR="00B30D98" w:rsidRDefault="00D75835">
            <w:pPr>
              <w:rPr>
                <w:rFonts w:hint="eastAsia"/>
              </w:rPr>
            </w:pPr>
            <w:r>
              <w:rPr>
                <w:sz w:val="16"/>
              </w:rPr>
              <w:t>Terraform and application deployment</w:t>
            </w:r>
          </w:p>
        </w:tc>
        <w:tc>
          <w:tcPr>
            <w:tcW w:w="3408" w:type="dxa"/>
            <w:vAlign w:val="center"/>
          </w:tcPr>
          <w:p w:rsidR="00B30D98" w:rsidRDefault="00D75835">
            <w:pPr>
              <w:rPr>
                <w:rFonts w:hint="eastAsia"/>
              </w:rPr>
            </w:pPr>
            <w:r>
              <w:rPr>
                <w:sz w:val="16"/>
              </w:rPr>
              <w:t>Workload Identity Federation; no stored service account keys.</w:t>
            </w:r>
          </w:p>
        </w:tc>
      </w:tr>
    </w:tbl>
    <w:p w:rsidR="00B30D98" w:rsidRDefault="00B30D98">
      <w:pPr>
        <w:rPr>
          <w:rFonts w:hint="eastAsia"/>
        </w:rPr>
      </w:pPr>
    </w:p>
    <w:p w:rsidR="00B30D98" w:rsidRDefault="00D75835">
      <w:pPr>
        <w:pStyle w:val="Heading2"/>
      </w:pPr>
      <w:r>
        <w:t>8.1 External Exposure</w:t>
      </w:r>
    </w:p>
    <w:p w:rsidR="00B30D98" w:rsidRDefault="00D75835">
      <w:pPr>
        <w:pStyle w:val="ListBullet"/>
        <w:rPr>
          <w:rFonts w:hint="eastAsia"/>
        </w:rPr>
      </w:pPr>
      <w:r>
        <w:t>Dashboard - accessible only to authenticated users in the approved organisation/g</w:t>
      </w:r>
      <w:r>
        <w:t>roup through IAP or equivalent Cloud Run authentication.</w:t>
      </w:r>
    </w:p>
    <w:p w:rsidR="00B30D98" w:rsidRDefault="00D75835">
      <w:pPr>
        <w:pStyle w:val="ListBullet"/>
        <w:rPr>
          <w:rFonts w:hint="eastAsia"/>
        </w:rPr>
      </w:pPr>
      <w:r>
        <w:t>Governance engine - not a public user endpoint.</w:t>
      </w:r>
    </w:p>
    <w:p w:rsidR="00B30D98" w:rsidRDefault="00D75835">
      <w:pPr>
        <w:pStyle w:val="ListBullet"/>
        <w:rPr>
          <w:rFonts w:hint="eastAsia"/>
        </w:rPr>
      </w:pPr>
      <w:r>
        <w:t>Worker/remediation endpoint - private/authenticated service-to-service path only.</w:t>
      </w:r>
    </w:p>
    <w:p w:rsidR="00B30D98" w:rsidRDefault="00D75835">
      <w:pPr>
        <w:pStyle w:val="ListBullet"/>
        <w:rPr>
          <w:rFonts w:hint="eastAsia"/>
        </w:rPr>
      </w:pPr>
      <w:r>
        <w:t>BigQuery governance dataset - not directly exposed to dashboard users</w:t>
      </w:r>
      <w:r>
        <w:t xml:space="preserve"> unless separately authorised.</w:t>
      </w:r>
    </w:p>
    <w:p w:rsidR="00B30D98" w:rsidRDefault="00D75835">
      <w:pPr>
        <w:pStyle w:val="ListBullet"/>
      </w:pPr>
      <w:r>
        <w:t>No long-lived service account keys in GitHub.</w:t>
      </w: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pPr>
    </w:p>
    <w:p w:rsidR="004C5647" w:rsidRDefault="004C5647" w:rsidP="004C5647">
      <w:pPr>
        <w:pStyle w:val="ListBullet"/>
        <w:numPr>
          <w:ilvl w:val="0"/>
          <w:numId w:val="0"/>
        </w:numPr>
        <w:ind w:left="360" w:hanging="360"/>
        <w:rPr>
          <w:rFonts w:hint="eastAsia"/>
        </w:rPr>
      </w:pPr>
    </w:p>
    <w:p w:rsidR="004C5647" w:rsidRDefault="004C5647">
      <w:pPr>
        <w:pStyle w:val="Heading1"/>
      </w:pPr>
    </w:p>
    <w:p w:rsidR="00B30D98" w:rsidRDefault="00D75835">
      <w:pPr>
        <w:pStyle w:val="Heading1"/>
      </w:pPr>
      <w:r>
        <w:t>9. Dedicated Governance Project</w:t>
      </w:r>
    </w:p>
    <w:p w:rsidR="00B30D98" w:rsidRDefault="00D75835">
      <w:pPr>
        <w:rPr>
          <w:rFonts w:hint="eastAsia"/>
        </w:rPr>
      </w:pPr>
      <w:r>
        <w:t xml:space="preserve">The governance control plane should run in a dedicated GCP project. This provides a clear security boundary, centralises operational ownership and </w:t>
      </w:r>
      <w:r>
        <w:t>cost attribution, and prevents application projects from hosting shared governance infrastructure.</w:t>
      </w:r>
    </w:p>
    <w:tbl>
      <w:tblPr>
        <w:tblStyle w:val="TableGrid"/>
        <w:tblW w:w="0" w:type="auto"/>
        <w:jc w:val="center"/>
        <w:tblLook w:val="04A0" w:firstRow="1" w:lastRow="0" w:firstColumn="1" w:lastColumn="0" w:noHBand="0" w:noVBand="1"/>
      </w:tblPr>
      <w:tblGrid>
        <w:gridCol w:w="5112"/>
        <w:gridCol w:w="5112"/>
      </w:tblGrid>
      <w:tr w:rsidR="00B30D98">
        <w:trPr>
          <w:jc w:val="center"/>
        </w:trPr>
        <w:tc>
          <w:tcPr>
            <w:tcW w:w="5112" w:type="dxa"/>
            <w:shd w:val="clear" w:color="auto" w:fill="1F4E79"/>
          </w:tcPr>
          <w:p w:rsidR="00B30D98" w:rsidRDefault="00D75835">
            <w:pPr>
              <w:rPr>
                <w:rFonts w:hint="eastAsia"/>
              </w:rPr>
            </w:pPr>
            <w:r>
              <w:rPr>
                <w:b/>
                <w:color w:val="FFFFFF"/>
                <w:sz w:val="17"/>
              </w:rPr>
              <w:t>Platform Component</w:t>
            </w:r>
          </w:p>
        </w:tc>
        <w:tc>
          <w:tcPr>
            <w:tcW w:w="5112" w:type="dxa"/>
            <w:shd w:val="clear" w:color="auto" w:fill="1F4E79"/>
          </w:tcPr>
          <w:p w:rsidR="00B30D98" w:rsidRDefault="00D75835">
            <w:pPr>
              <w:rPr>
                <w:rFonts w:hint="eastAsia"/>
              </w:rPr>
            </w:pPr>
            <w:r>
              <w:rPr>
                <w:b/>
                <w:color w:val="FFFFFF"/>
                <w:sz w:val="17"/>
              </w:rPr>
              <w:t>Location</w:t>
            </w:r>
          </w:p>
        </w:tc>
      </w:tr>
      <w:tr w:rsidR="00B30D98">
        <w:trPr>
          <w:jc w:val="center"/>
        </w:trPr>
        <w:tc>
          <w:tcPr>
            <w:tcW w:w="5112" w:type="dxa"/>
            <w:vAlign w:val="center"/>
          </w:tcPr>
          <w:p w:rsidR="00B30D98" w:rsidRDefault="00D75835">
            <w:pPr>
              <w:rPr>
                <w:rFonts w:hint="eastAsia"/>
              </w:rPr>
            </w:pPr>
            <w:r>
              <w:rPr>
                <w:sz w:val="16"/>
              </w:rPr>
              <w:t>Governance Engine</w:t>
            </w:r>
          </w:p>
        </w:tc>
        <w:tc>
          <w:tcPr>
            <w:tcW w:w="5112" w:type="dxa"/>
            <w:vAlign w:val="center"/>
          </w:tcPr>
          <w:p w:rsidR="00B30D98" w:rsidRDefault="00D75835">
            <w:pPr>
              <w:rPr>
                <w:rFonts w:hint="eastAsia"/>
              </w:rPr>
            </w:pPr>
            <w:r>
              <w:rPr>
                <w:sz w:val="16"/>
              </w:rPr>
              <w:t>Dedicated governance project</w:t>
            </w:r>
          </w:p>
        </w:tc>
      </w:tr>
      <w:tr w:rsidR="00B30D98">
        <w:trPr>
          <w:jc w:val="center"/>
        </w:trPr>
        <w:tc>
          <w:tcPr>
            <w:tcW w:w="5112" w:type="dxa"/>
            <w:vAlign w:val="center"/>
          </w:tcPr>
          <w:p w:rsidR="00B30D98" w:rsidRDefault="00D75835">
            <w:pPr>
              <w:rPr>
                <w:rFonts w:hint="eastAsia"/>
              </w:rPr>
            </w:pPr>
            <w:r>
              <w:rPr>
                <w:sz w:val="16"/>
              </w:rPr>
              <w:t>Worker Service</w:t>
            </w:r>
          </w:p>
        </w:tc>
        <w:tc>
          <w:tcPr>
            <w:tcW w:w="5112" w:type="dxa"/>
            <w:vAlign w:val="center"/>
          </w:tcPr>
          <w:p w:rsidR="00B30D98" w:rsidRDefault="00D75835">
            <w:pPr>
              <w:rPr>
                <w:rFonts w:hint="eastAsia"/>
              </w:rPr>
            </w:pPr>
            <w:r>
              <w:rPr>
                <w:sz w:val="16"/>
              </w:rPr>
              <w:t>Dedicated governance project</w:t>
            </w:r>
          </w:p>
        </w:tc>
      </w:tr>
      <w:tr w:rsidR="00B30D98">
        <w:trPr>
          <w:jc w:val="center"/>
        </w:trPr>
        <w:tc>
          <w:tcPr>
            <w:tcW w:w="5112" w:type="dxa"/>
            <w:vAlign w:val="center"/>
          </w:tcPr>
          <w:p w:rsidR="00B30D98" w:rsidRDefault="00D75835">
            <w:pPr>
              <w:rPr>
                <w:rFonts w:hint="eastAsia"/>
              </w:rPr>
            </w:pPr>
            <w:r>
              <w:rPr>
                <w:sz w:val="16"/>
              </w:rPr>
              <w:t>Dashboard Service</w:t>
            </w:r>
          </w:p>
        </w:tc>
        <w:tc>
          <w:tcPr>
            <w:tcW w:w="5112" w:type="dxa"/>
            <w:vAlign w:val="center"/>
          </w:tcPr>
          <w:p w:rsidR="00B30D98" w:rsidRDefault="00D75835">
            <w:pPr>
              <w:rPr>
                <w:rFonts w:hint="eastAsia"/>
              </w:rPr>
            </w:pPr>
            <w:r>
              <w:rPr>
                <w:sz w:val="16"/>
              </w:rPr>
              <w:t>Dedicated governa</w:t>
            </w:r>
            <w:r>
              <w:rPr>
                <w:sz w:val="16"/>
              </w:rPr>
              <w:t>nce project</w:t>
            </w:r>
          </w:p>
        </w:tc>
      </w:tr>
      <w:tr w:rsidR="00B30D98">
        <w:trPr>
          <w:jc w:val="center"/>
        </w:trPr>
        <w:tc>
          <w:tcPr>
            <w:tcW w:w="5112" w:type="dxa"/>
            <w:vAlign w:val="center"/>
          </w:tcPr>
          <w:p w:rsidR="00B30D98" w:rsidRDefault="00D75835">
            <w:pPr>
              <w:rPr>
                <w:rFonts w:hint="eastAsia"/>
              </w:rPr>
            </w:pPr>
            <w:r>
              <w:rPr>
                <w:sz w:val="16"/>
              </w:rPr>
              <w:t>Governance Registry</w:t>
            </w:r>
          </w:p>
        </w:tc>
        <w:tc>
          <w:tcPr>
            <w:tcW w:w="5112" w:type="dxa"/>
            <w:vAlign w:val="center"/>
          </w:tcPr>
          <w:p w:rsidR="00B30D98" w:rsidRDefault="00D75835">
            <w:pPr>
              <w:rPr>
                <w:rFonts w:hint="eastAsia"/>
              </w:rPr>
            </w:pPr>
            <w:r>
              <w:rPr>
                <w:sz w:val="16"/>
              </w:rPr>
              <w:t>Dedicated governance project / controlled repository</w:t>
            </w:r>
          </w:p>
        </w:tc>
      </w:tr>
      <w:tr w:rsidR="00B30D98">
        <w:trPr>
          <w:jc w:val="center"/>
        </w:trPr>
        <w:tc>
          <w:tcPr>
            <w:tcW w:w="5112" w:type="dxa"/>
            <w:vAlign w:val="center"/>
          </w:tcPr>
          <w:p w:rsidR="00B30D98" w:rsidRDefault="00D75835">
            <w:pPr>
              <w:rPr>
                <w:rFonts w:hint="eastAsia"/>
              </w:rPr>
            </w:pPr>
            <w:r>
              <w:rPr>
                <w:sz w:val="16"/>
              </w:rPr>
              <w:t>BigQuery governance dataset</w:t>
            </w:r>
          </w:p>
        </w:tc>
        <w:tc>
          <w:tcPr>
            <w:tcW w:w="5112" w:type="dxa"/>
            <w:vAlign w:val="center"/>
          </w:tcPr>
          <w:p w:rsidR="00B30D98" w:rsidRDefault="00D75835">
            <w:pPr>
              <w:rPr>
                <w:rFonts w:hint="eastAsia"/>
              </w:rPr>
            </w:pPr>
            <w:r>
              <w:rPr>
                <w:sz w:val="16"/>
              </w:rPr>
              <w:t>Dedicated governance project</w:t>
            </w:r>
          </w:p>
        </w:tc>
      </w:tr>
      <w:tr w:rsidR="00B30D98">
        <w:trPr>
          <w:jc w:val="center"/>
        </w:trPr>
        <w:tc>
          <w:tcPr>
            <w:tcW w:w="5112" w:type="dxa"/>
            <w:vAlign w:val="center"/>
          </w:tcPr>
          <w:p w:rsidR="00B30D98" w:rsidRDefault="00D75835">
            <w:pPr>
              <w:rPr>
                <w:rFonts w:hint="eastAsia"/>
              </w:rPr>
            </w:pPr>
            <w:r>
              <w:rPr>
                <w:sz w:val="16"/>
              </w:rPr>
              <w:t>Cloud Tasks</w:t>
            </w:r>
          </w:p>
        </w:tc>
        <w:tc>
          <w:tcPr>
            <w:tcW w:w="5112" w:type="dxa"/>
            <w:vAlign w:val="center"/>
          </w:tcPr>
          <w:p w:rsidR="00B30D98" w:rsidRDefault="00D75835">
            <w:pPr>
              <w:rPr>
                <w:rFonts w:hint="eastAsia"/>
              </w:rPr>
            </w:pPr>
            <w:r>
              <w:rPr>
                <w:sz w:val="16"/>
              </w:rPr>
              <w:t>Dedicated governance project</w:t>
            </w:r>
          </w:p>
        </w:tc>
      </w:tr>
      <w:tr w:rsidR="00B30D98">
        <w:trPr>
          <w:jc w:val="center"/>
        </w:trPr>
        <w:tc>
          <w:tcPr>
            <w:tcW w:w="5112" w:type="dxa"/>
            <w:vAlign w:val="center"/>
          </w:tcPr>
          <w:p w:rsidR="00B30D98" w:rsidRDefault="00D75835">
            <w:pPr>
              <w:rPr>
                <w:rFonts w:hint="eastAsia"/>
              </w:rPr>
            </w:pPr>
            <w:r>
              <w:rPr>
                <w:sz w:val="16"/>
              </w:rPr>
              <w:t>Pub/Sub / Eventarc integration</w:t>
            </w:r>
          </w:p>
        </w:tc>
        <w:tc>
          <w:tcPr>
            <w:tcW w:w="5112" w:type="dxa"/>
            <w:vAlign w:val="center"/>
          </w:tcPr>
          <w:p w:rsidR="00B30D98" w:rsidRDefault="00D75835">
            <w:pPr>
              <w:rPr>
                <w:rFonts w:hint="eastAsia"/>
              </w:rPr>
            </w:pPr>
            <w:r>
              <w:rPr>
                <w:sz w:val="16"/>
              </w:rPr>
              <w:t xml:space="preserve">Dedicated governance project, aligned </w:t>
            </w:r>
            <w:r>
              <w:rPr>
                <w:sz w:val="16"/>
              </w:rPr>
              <w:t>to org event design</w:t>
            </w:r>
          </w:p>
        </w:tc>
      </w:tr>
      <w:tr w:rsidR="00B30D98">
        <w:trPr>
          <w:jc w:val="center"/>
        </w:trPr>
        <w:tc>
          <w:tcPr>
            <w:tcW w:w="5112" w:type="dxa"/>
            <w:vAlign w:val="center"/>
          </w:tcPr>
          <w:p w:rsidR="00B30D98" w:rsidRDefault="00D75835">
            <w:pPr>
              <w:rPr>
                <w:rFonts w:hint="eastAsia"/>
              </w:rPr>
            </w:pPr>
            <w:r>
              <w:rPr>
                <w:sz w:val="16"/>
              </w:rPr>
              <w:t>Artifact Registry</w:t>
            </w:r>
          </w:p>
        </w:tc>
        <w:tc>
          <w:tcPr>
            <w:tcW w:w="5112" w:type="dxa"/>
            <w:vAlign w:val="center"/>
          </w:tcPr>
          <w:p w:rsidR="00B30D98" w:rsidRDefault="00D75835">
            <w:pPr>
              <w:rPr>
                <w:rFonts w:hint="eastAsia"/>
              </w:rPr>
            </w:pPr>
            <w:r>
              <w:rPr>
                <w:sz w:val="16"/>
              </w:rPr>
              <w:t>Dedicated governance project</w:t>
            </w:r>
          </w:p>
        </w:tc>
      </w:tr>
      <w:tr w:rsidR="00B30D98">
        <w:trPr>
          <w:jc w:val="center"/>
        </w:trPr>
        <w:tc>
          <w:tcPr>
            <w:tcW w:w="5112" w:type="dxa"/>
            <w:vAlign w:val="center"/>
          </w:tcPr>
          <w:p w:rsidR="00B30D98" w:rsidRDefault="00D75835">
            <w:pPr>
              <w:rPr>
                <w:rFonts w:hint="eastAsia"/>
              </w:rPr>
            </w:pPr>
            <w:r>
              <w:rPr>
                <w:sz w:val="16"/>
              </w:rPr>
              <w:t>Workload resources</w:t>
            </w:r>
          </w:p>
        </w:tc>
        <w:tc>
          <w:tcPr>
            <w:tcW w:w="5112" w:type="dxa"/>
            <w:vAlign w:val="center"/>
          </w:tcPr>
          <w:p w:rsidR="00B30D98" w:rsidRDefault="00D75835">
            <w:pPr>
              <w:rPr>
                <w:rFonts w:hint="eastAsia"/>
              </w:rPr>
            </w:pPr>
            <w:r>
              <w:rPr>
                <w:sz w:val="16"/>
              </w:rPr>
              <w:t>Existing client workload projects</w:t>
            </w:r>
          </w:p>
        </w:tc>
      </w:tr>
    </w:tbl>
    <w:p w:rsidR="00B30D98" w:rsidRDefault="00B30D98">
      <w:pPr>
        <w:rPr>
          <w:rFonts w:hint="eastAsia"/>
        </w:rPr>
      </w:pPr>
    </w:p>
    <w:p w:rsidR="00B30D98" w:rsidRDefault="00D75835">
      <w:pPr>
        <w:pStyle w:val="Heading1"/>
      </w:pPr>
      <w:r>
        <w:t>10. Reporting and Dashboard Design</w:t>
      </w:r>
    </w:p>
    <w:p w:rsidR="00B30D98" w:rsidRDefault="00D75835">
      <w:pPr>
        <w:rPr>
          <w:rFonts w:hint="eastAsia"/>
        </w:rPr>
      </w:pPr>
      <w:r>
        <w:t>T</w:t>
      </w:r>
      <w:r>
        <w:t>he executive dashboard is a separate Cloud Run service from the internal governance engine. It</w:t>
      </w:r>
      <w:r>
        <w:t xml:space="preserve"> provides organisation and project views for executives, platform engineering, governance, operations and FinOps. It queries the reporting data model read-only.</w:t>
      </w:r>
    </w:p>
    <w:tbl>
      <w:tblPr>
        <w:tblStyle w:val="TableGrid"/>
        <w:tblW w:w="0" w:type="auto"/>
        <w:jc w:val="center"/>
        <w:tblLook w:val="04A0" w:firstRow="1" w:lastRow="0" w:firstColumn="1" w:lastColumn="0" w:noHBand="0" w:noVBand="1"/>
      </w:tblPr>
      <w:tblGrid>
        <w:gridCol w:w="5112"/>
        <w:gridCol w:w="5112"/>
      </w:tblGrid>
      <w:tr w:rsidR="00B30D98">
        <w:trPr>
          <w:jc w:val="center"/>
        </w:trPr>
        <w:tc>
          <w:tcPr>
            <w:tcW w:w="5112" w:type="dxa"/>
            <w:shd w:val="clear" w:color="auto" w:fill="1F4E79"/>
          </w:tcPr>
          <w:p w:rsidR="00B30D98" w:rsidRDefault="00D75835">
            <w:pPr>
              <w:rPr>
                <w:rFonts w:hint="eastAsia"/>
              </w:rPr>
            </w:pPr>
            <w:r>
              <w:rPr>
                <w:b/>
                <w:color w:val="FFFFFF"/>
                <w:sz w:val="17"/>
              </w:rPr>
              <w:t>Dataset/Table</w:t>
            </w:r>
          </w:p>
        </w:tc>
        <w:tc>
          <w:tcPr>
            <w:tcW w:w="5112" w:type="dxa"/>
            <w:shd w:val="clear" w:color="auto" w:fill="1F4E79"/>
          </w:tcPr>
          <w:p w:rsidR="00B30D98" w:rsidRDefault="00D75835">
            <w:pPr>
              <w:rPr>
                <w:rFonts w:hint="eastAsia"/>
              </w:rPr>
            </w:pPr>
            <w:r>
              <w:rPr>
                <w:b/>
                <w:color w:val="FFFFFF"/>
                <w:sz w:val="17"/>
              </w:rPr>
              <w:t>Dashboard Use</w:t>
            </w:r>
          </w:p>
        </w:tc>
      </w:tr>
      <w:tr w:rsidR="00B30D98">
        <w:trPr>
          <w:jc w:val="center"/>
        </w:trPr>
        <w:tc>
          <w:tcPr>
            <w:tcW w:w="5112" w:type="dxa"/>
            <w:vAlign w:val="center"/>
          </w:tcPr>
          <w:p w:rsidR="00B30D98" w:rsidRDefault="00D75835">
            <w:pPr>
              <w:rPr>
                <w:rFonts w:hint="eastAsia"/>
              </w:rPr>
            </w:pPr>
            <w:r>
              <w:rPr>
                <w:sz w:val="16"/>
              </w:rPr>
              <w:t>resource_snapshot</w:t>
            </w:r>
          </w:p>
        </w:tc>
        <w:tc>
          <w:tcPr>
            <w:tcW w:w="5112" w:type="dxa"/>
            <w:vAlign w:val="center"/>
          </w:tcPr>
          <w:p w:rsidR="00B30D98" w:rsidRDefault="00D75835">
            <w:pPr>
              <w:rPr>
                <w:rFonts w:hint="eastAsia"/>
              </w:rPr>
            </w:pPr>
            <w:r>
              <w:rPr>
                <w:sz w:val="16"/>
              </w:rPr>
              <w:t>Resource inventory and coverage</w:t>
            </w:r>
          </w:p>
        </w:tc>
      </w:tr>
      <w:tr w:rsidR="00B30D98">
        <w:trPr>
          <w:jc w:val="center"/>
        </w:trPr>
        <w:tc>
          <w:tcPr>
            <w:tcW w:w="5112" w:type="dxa"/>
            <w:vAlign w:val="center"/>
          </w:tcPr>
          <w:p w:rsidR="00B30D98" w:rsidRDefault="00D75835">
            <w:pPr>
              <w:rPr>
                <w:rFonts w:hint="eastAsia"/>
              </w:rPr>
            </w:pPr>
            <w:r>
              <w:rPr>
                <w:sz w:val="16"/>
              </w:rPr>
              <w:t>compliance_snapshot</w:t>
            </w:r>
          </w:p>
        </w:tc>
        <w:tc>
          <w:tcPr>
            <w:tcW w:w="5112" w:type="dxa"/>
            <w:vAlign w:val="center"/>
          </w:tcPr>
          <w:p w:rsidR="00B30D98" w:rsidRDefault="00D75835">
            <w:pPr>
              <w:rPr>
                <w:rFonts w:hint="eastAsia"/>
              </w:rPr>
            </w:pPr>
            <w:r>
              <w:rPr>
                <w:sz w:val="16"/>
              </w:rPr>
              <w:t>Compliance posture and trends</w:t>
            </w:r>
          </w:p>
        </w:tc>
      </w:tr>
      <w:tr w:rsidR="00B30D98">
        <w:trPr>
          <w:jc w:val="center"/>
        </w:trPr>
        <w:tc>
          <w:tcPr>
            <w:tcW w:w="5112" w:type="dxa"/>
            <w:vAlign w:val="center"/>
          </w:tcPr>
          <w:p w:rsidR="00B30D98" w:rsidRDefault="00D75835">
            <w:pPr>
              <w:rPr>
                <w:rFonts w:hint="eastAsia"/>
              </w:rPr>
            </w:pPr>
            <w:r>
              <w:rPr>
                <w:sz w:val="16"/>
              </w:rPr>
              <w:t>remediation_plan</w:t>
            </w:r>
          </w:p>
        </w:tc>
        <w:tc>
          <w:tcPr>
            <w:tcW w:w="5112" w:type="dxa"/>
            <w:vAlign w:val="center"/>
          </w:tcPr>
          <w:p w:rsidR="00B30D98" w:rsidRDefault="00D75835">
            <w:pPr>
              <w:rPr>
                <w:rFonts w:hint="eastAsia"/>
              </w:rPr>
            </w:pPr>
            <w:r>
              <w:rPr>
                <w:sz w:val="16"/>
              </w:rPr>
              <w:t>Planned remediation workload</w:t>
            </w:r>
          </w:p>
        </w:tc>
      </w:tr>
      <w:tr w:rsidR="00B30D98">
        <w:trPr>
          <w:jc w:val="center"/>
        </w:trPr>
        <w:tc>
          <w:tcPr>
            <w:tcW w:w="5112" w:type="dxa"/>
            <w:vAlign w:val="center"/>
          </w:tcPr>
          <w:p w:rsidR="00B30D98" w:rsidRDefault="00D75835">
            <w:pPr>
              <w:rPr>
                <w:rFonts w:hint="eastAsia"/>
              </w:rPr>
            </w:pPr>
            <w:r>
              <w:rPr>
                <w:sz w:val="16"/>
              </w:rPr>
              <w:t>remediation_execution</w:t>
            </w:r>
          </w:p>
        </w:tc>
        <w:tc>
          <w:tcPr>
            <w:tcW w:w="5112" w:type="dxa"/>
            <w:vAlign w:val="center"/>
          </w:tcPr>
          <w:p w:rsidR="00B30D98" w:rsidRDefault="00D75835">
            <w:pPr>
              <w:rPr>
                <w:rFonts w:hint="eastAsia"/>
              </w:rPr>
            </w:pPr>
            <w:r>
              <w:rPr>
                <w:sz w:val="16"/>
              </w:rPr>
              <w:t>Execution success/failure and history</w:t>
            </w:r>
          </w:p>
        </w:tc>
      </w:tr>
    </w:tbl>
    <w:p w:rsidR="00B30D98" w:rsidRDefault="00B30D98">
      <w:pPr>
        <w:rPr>
          <w:rFonts w:hint="eastAsia"/>
        </w:rPr>
      </w:pPr>
    </w:p>
    <w:p w:rsidR="00B30D98" w:rsidRDefault="00D75835">
      <w:pPr>
        <w:pStyle w:val="Heading2"/>
      </w:pPr>
      <w:r>
        <w:t>10.1 Recommended Dashboard Views</w:t>
      </w:r>
    </w:p>
    <w:p w:rsidR="00B30D98" w:rsidRDefault="00D75835">
      <w:pPr>
        <w:pStyle w:val="ListBullet"/>
        <w:rPr>
          <w:rFonts w:hint="eastAsia"/>
        </w:rPr>
      </w:pPr>
      <w:r>
        <w:t>Executive summary - overall compliance %, governed resources, u</w:t>
      </w:r>
      <w:r>
        <w:t>nresolved resources and remediation status.</w:t>
      </w:r>
    </w:p>
    <w:p w:rsidR="00B30D98" w:rsidRDefault="00D75835">
      <w:pPr>
        <w:pStyle w:val="ListBullet"/>
        <w:rPr>
          <w:rFonts w:hint="eastAsia"/>
        </w:rPr>
      </w:pPr>
      <w:r>
        <w:t>Organisation view - compliance by project, department, application and environment.</w:t>
      </w:r>
    </w:p>
    <w:p w:rsidR="00B30D98" w:rsidRDefault="00D75835">
      <w:pPr>
        <w:pStyle w:val="ListBullet"/>
        <w:rPr>
          <w:rFonts w:hint="eastAsia"/>
        </w:rPr>
      </w:pPr>
      <w:r>
        <w:t>Project view - resource inventory and compliance for a selected project.</w:t>
      </w:r>
    </w:p>
    <w:p w:rsidR="00B30D98" w:rsidRDefault="00D75835">
      <w:pPr>
        <w:pStyle w:val="ListBullet"/>
        <w:rPr>
          <w:rFonts w:hint="eastAsia"/>
        </w:rPr>
      </w:pPr>
      <w:r>
        <w:t>Resource-type view - compliance by GCP service/resource</w:t>
      </w:r>
      <w:r>
        <w:t xml:space="preserve"> family.</w:t>
      </w:r>
    </w:p>
    <w:p w:rsidR="00B30D98" w:rsidRDefault="00D75835">
      <w:pPr>
        <w:pStyle w:val="ListBullet"/>
        <w:rPr>
          <w:rFonts w:hint="eastAsia"/>
        </w:rPr>
      </w:pPr>
      <w:r>
        <w:t>Brownfield view - discovered, evaluated, planned, remediated and failed counts.</w:t>
      </w:r>
    </w:p>
    <w:p w:rsidR="00B30D98" w:rsidRDefault="00D75835">
      <w:pPr>
        <w:pStyle w:val="ListBullet"/>
        <w:rPr>
          <w:rFonts w:hint="eastAsia"/>
        </w:rPr>
      </w:pPr>
      <w:r>
        <w:t>Greenfield view - creation events processed, compliant, remediated, skipped and failed.</w:t>
      </w:r>
    </w:p>
    <w:p w:rsidR="00B30D98" w:rsidRDefault="00D75835">
      <w:pPr>
        <w:pStyle w:val="ListBullet"/>
        <w:rPr>
          <w:rFonts w:hint="eastAsia"/>
        </w:rPr>
      </w:pPr>
      <w:r>
        <w:t>Remediation history - execution status, duration and error details.</w:t>
      </w:r>
    </w:p>
    <w:p w:rsidR="00B30D98" w:rsidRDefault="00D75835">
      <w:pPr>
        <w:pStyle w:val="ListBullet"/>
        <w:rPr>
          <w:rFonts w:hint="eastAsia"/>
        </w:rPr>
      </w:pPr>
      <w:r>
        <w:t>FinOps view</w:t>
      </w:r>
      <w:r>
        <w:t xml:space="preserve"> - application, cost centre, budget owner and environment coverage.</w:t>
      </w:r>
    </w:p>
    <w:p w:rsidR="00B30D98" w:rsidRDefault="00D75835">
      <w:pPr>
        <w:pStyle w:val="Heading1"/>
      </w:pPr>
      <w:r>
        <w:t>11. Data and Audit Model</w:t>
      </w:r>
    </w:p>
    <w:p w:rsidR="00B30D98" w:rsidRDefault="00D75835">
      <w:pPr>
        <w:rPr>
          <w:rFonts w:hint="eastAsia"/>
        </w:rPr>
      </w:pPr>
      <w:r>
        <w:t>BigQuery is the durable governance reporting layer. Operational events should be written as appendable/auditable records where appropriate so the platform can answ</w:t>
      </w:r>
      <w:r>
        <w:t>er not only the current compliance state but also what changed, when, why and whether remediation succeeded.</w:t>
      </w:r>
    </w:p>
    <w:p w:rsidR="00B30D98" w:rsidRDefault="00D75835">
      <w:pPr>
        <w:pStyle w:val="ListBullet"/>
        <w:rPr>
          <w:rFonts w:hint="eastAsia"/>
        </w:rPr>
      </w:pPr>
      <w:r>
        <w:t>Retain run_id / execution mode to distinguish Brownfield and Greenfield activity.</w:t>
      </w:r>
    </w:p>
    <w:p w:rsidR="00B30D98" w:rsidRDefault="00D75835">
      <w:pPr>
        <w:pStyle w:val="ListBullet"/>
        <w:rPr>
          <w:rFonts w:hint="eastAsia"/>
        </w:rPr>
      </w:pPr>
      <w:r>
        <w:t>Persist project ID, resource type, resource name, status, timesta</w:t>
      </w:r>
      <w:r>
        <w:t>mps and errors.</w:t>
      </w:r>
    </w:p>
    <w:p w:rsidR="00B30D98" w:rsidRDefault="00D75835">
      <w:pPr>
        <w:pStyle w:val="ListBullet"/>
        <w:rPr>
          <w:rFonts w:hint="eastAsia"/>
        </w:rPr>
      </w:pPr>
      <w:r>
        <w:t>Keep reporting queries read-only from the dashboard service.</w:t>
      </w:r>
    </w:p>
    <w:p w:rsidR="00B30D98" w:rsidRDefault="00D75835">
      <w:pPr>
        <w:pStyle w:val="ListBullet"/>
      </w:pPr>
      <w:r>
        <w:t>Define retention and partitioning according to client audit and cost requirements.</w:t>
      </w:r>
    </w:p>
    <w:p w:rsidR="00717DF6" w:rsidRDefault="00717DF6" w:rsidP="00717DF6">
      <w:pPr>
        <w:pStyle w:val="ListBullet"/>
        <w:numPr>
          <w:ilvl w:val="0"/>
          <w:numId w:val="0"/>
        </w:numPr>
        <w:ind w:left="360" w:hanging="360"/>
      </w:pPr>
    </w:p>
    <w:p w:rsidR="00717DF6" w:rsidRDefault="00717DF6" w:rsidP="00717DF6">
      <w:pPr>
        <w:pStyle w:val="ListBullet"/>
        <w:numPr>
          <w:ilvl w:val="0"/>
          <w:numId w:val="0"/>
        </w:numPr>
        <w:ind w:left="360" w:hanging="360"/>
      </w:pPr>
    </w:p>
    <w:p w:rsidR="00717DF6" w:rsidRDefault="00717DF6" w:rsidP="00717DF6">
      <w:pPr>
        <w:pStyle w:val="ListBullet"/>
        <w:numPr>
          <w:ilvl w:val="0"/>
          <w:numId w:val="0"/>
        </w:numPr>
        <w:ind w:left="360" w:hanging="360"/>
        <w:rPr>
          <w:rFonts w:hint="eastAsia"/>
        </w:rPr>
      </w:pPr>
    </w:p>
    <w:p w:rsidR="00717DF6" w:rsidRDefault="00717DF6">
      <w:pPr>
        <w:pStyle w:val="Heading1"/>
      </w:pPr>
    </w:p>
    <w:p w:rsidR="00B30D98" w:rsidRDefault="00D75835">
      <w:pPr>
        <w:pStyle w:val="Heading1"/>
      </w:pPr>
      <w:r>
        <w:t>12. Reliability and Failure Handling</w:t>
      </w:r>
    </w:p>
    <w:p w:rsidR="00B30D98" w:rsidRDefault="00D75835">
      <w:pPr>
        <w:pStyle w:val="ListBullet"/>
        <w:rPr>
          <w:rFonts w:hint="eastAsia"/>
        </w:rPr>
      </w:pPr>
      <w:r>
        <w:t>Design remediation to be idempotent.</w:t>
      </w:r>
    </w:p>
    <w:p w:rsidR="00B30D98" w:rsidRDefault="00D75835">
      <w:pPr>
        <w:pStyle w:val="ListBullet"/>
        <w:rPr>
          <w:rFonts w:hint="eastAsia"/>
        </w:rPr>
      </w:pPr>
      <w:r>
        <w:t>Use Cloud Tasks retrie</w:t>
      </w:r>
      <w:r>
        <w:t>s for transient execution failures where safe.</w:t>
      </w:r>
    </w:p>
    <w:p w:rsidR="00B30D98" w:rsidRDefault="00D75835">
      <w:pPr>
        <w:pStyle w:val="ListBullet"/>
        <w:rPr>
          <w:rFonts w:hint="eastAsia"/>
        </w:rPr>
      </w:pPr>
      <w:r>
        <w:t>Treat unsupported capabilities as explicit skipped/unsupported outcomes.</w:t>
      </w:r>
    </w:p>
    <w:p w:rsidR="00B30D98" w:rsidRDefault="00D75835">
      <w:pPr>
        <w:pStyle w:val="ListBullet"/>
        <w:rPr>
          <w:rFonts w:hint="eastAsia"/>
        </w:rPr>
      </w:pPr>
      <w:r>
        <w:t>Do not silently convert an unresolved application mapping into a guessed application.</w:t>
      </w:r>
    </w:p>
    <w:p w:rsidR="00B30D98" w:rsidRDefault="00D75835">
      <w:pPr>
        <w:pStyle w:val="ListBullet"/>
        <w:rPr>
          <w:rFonts w:hint="eastAsia"/>
        </w:rPr>
      </w:pPr>
      <w:r>
        <w:t>Persist failure reason for operational triage.</w:t>
      </w:r>
    </w:p>
    <w:p w:rsidR="00B30D98" w:rsidRDefault="00D75835">
      <w:pPr>
        <w:pStyle w:val="ListBullet"/>
        <w:rPr>
          <w:rFonts w:hint="eastAsia"/>
        </w:rPr>
      </w:pPr>
      <w:r>
        <w:t>Use</w:t>
      </w:r>
      <w:r>
        <w:t xml:space="preserve"> Cloud Logging/Monitoring for service health, task failures and event-delivery visibility.</w:t>
      </w:r>
    </w:p>
    <w:p w:rsidR="00B30D98" w:rsidRDefault="00D75835">
      <w:pPr>
        <w:pStyle w:val="ListBullet"/>
        <w:rPr>
          <w:rFonts w:hint="eastAsia"/>
        </w:rPr>
      </w:pPr>
      <w:r>
        <w:t>Separate compliance evaluation from mutation so reporting remains available even when remediation is disabled.</w:t>
      </w:r>
    </w:p>
    <w:p w:rsidR="00B30D98" w:rsidRDefault="00D75835">
      <w:pPr>
        <w:pStyle w:val="Heading1"/>
      </w:pPr>
      <w:r>
        <w:t>13. Cost-Efficiency Design</w:t>
      </w:r>
    </w:p>
    <w:p w:rsidR="00B30D98" w:rsidRDefault="00D75835">
      <w:pPr>
        <w:rPr>
          <w:rFonts w:hint="eastAsia"/>
        </w:rPr>
      </w:pPr>
      <w:r>
        <w:t>The target architecture a</w:t>
      </w:r>
      <w:r>
        <w:t>voids a permanently running VM/GKE control plane. Serverless components scale with activity and the reporting store is managed. This is appropriate for a governance workload that is bursty during brownfield runs and event-driven during greenfield operation</w:t>
      </w:r>
      <w:r>
        <w:t>.</w:t>
      </w:r>
    </w:p>
    <w:tbl>
      <w:tblPr>
        <w:tblStyle w:val="TableGrid"/>
        <w:tblW w:w="0" w:type="auto"/>
        <w:jc w:val="center"/>
        <w:tblLook w:val="04A0" w:firstRow="1" w:lastRow="0" w:firstColumn="1" w:lastColumn="0" w:noHBand="0" w:noVBand="1"/>
      </w:tblPr>
      <w:tblGrid>
        <w:gridCol w:w="5112"/>
        <w:gridCol w:w="5112"/>
      </w:tblGrid>
      <w:tr w:rsidR="00B30D98">
        <w:trPr>
          <w:jc w:val="center"/>
        </w:trPr>
        <w:tc>
          <w:tcPr>
            <w:tcW w:w="5112" w:type="dxa"/>
            <w:shd w:val="clear" w:color="auto" w:fill="1F4E79"/>
          </w:tcPr>
          <w:p w:rsidR="00B30D98" w:rsidRDefault="00D75835">
            <w:pPr>
              <w:rPr>
                <w:rFonts w:hint="eastAsia"/>
              </w:rPr>
            </w:pPr>
            <w:r>
              <w:rPr>
                <w:b/>
                <w:color w:val="FFFFFF"/>
                <w:sz w:val="17"/>
              </w:rPr>
              <w:t>Component</w:t>
            </w:r>
          </w:p>
        </w:tc>
        <w:tc>
          <w:tcPr>
            <w:tcW w:w="5112" w:type="dxa"/>
            <w:shd w:val="clear" w:color="auto" w:fill="1F4E79"/>
          </w:tcPr>
          <w:p w:rsidR="00B30D98" w:rsidRDefault="00D75835">
            <w:pPr>
              <w:rPr>
                <w:rFonts w:hint="eastAsia"/>
              </w:rPr>
            </w:pPr>
            <w:r>
              <w:rPr>
                <w:b/>
                <w:color w:val="FFFFFF"/>
                <w:sz w:val="17"/>
              </w:rPr>
              <w:t>Cost Design</w:t>
            </w:r>
          </w:p>
        </w:tc>
      </w:tr>
      <w:tr w:rsidR="00B30D98">
        <w:trPr>
          <w:jc w:val="center"/>
        </w:trPr>
        <w:tc>
          <w:tcPr>
            <w:tcW w:w="5112" w:type="dxa"/>
            <w:vAlign w:val="center"/>
          </w:tcPr>
          <w:p w:rsidR="00B30D98" w:rsidRDefault="00D75835">
            <w:pPr>
              <w:rPr>
                <w:rFonts w:hint="eastAsia"/>
              </w:rPr>
            </w:pPr>
            <w:r>
              <w:rPr>
                <w:sz w:val="16"/>
              </w:rPr>
              <w:t>Cloud Run</w:t>
            </w:r>
          </w:p>
        </w:tc>
        <w:tc>
          <w:tcPr>
            <w:tcW w:w="5112" w:type="dxa"/>
            <w:vAlign w:val="center"/>
          </w:tcPr>
          <w:p w:rsidR="00B30D98" w:rsidRDefault="00D75835">
            <w:pPr>
              <w:rPr>
                <w:rFonts w:hint="eastAsia"/>
              </w:rPr>
            </w:pPr>
            <w:r>
              <w:rPr>
                <w:sz w:val="16"/>
              </w:rPr>
              <w:t>Request/event-driven compute; configure minimum instances conservatively where latency does not require warm capacity.</w:t>
            </w:r>
          </w:p>
        </w:tc>
      </w:tr>
      <w:tr w:rsidR="00B30D98">
        <w:trPr>
          <w:jc w:val="center"/>
        </w:trPr>
        <w:tc>
          <w:tcPr>
            <w:tcW w:w="5112" w:type="dxa"/>
            <w:vAlign w:val="center"/>
          </w:tcPr>
          <w:p w:rsidR="00B30D98" w:rsidRDefault="00D75835">
            <w:pPr>
              <w:rPr>
                <w:rFonts w:hint="eastAsia"/>
              </w:rPr>
            </w:pPr>
            <w:r>
              <w:rPr>
                <w:sz w:val="16"/>
              </w:rPr>
              <w:t>Cloud Tasks</w:t>
            </w:r>
          </w:p>
        </w:tc>
        <w:tc>
          <w:tcPr>
            <w:tcW w:w="5112" w:type="dxa"/>
            <w:vAlign w:val="center"/>
          </w:tcPr>
          <w:p w:rsidR="00B30D98" w:rsidRDefault="00D75835">
            <w:pPr>
              <w:rPr>
                <w:rFonts w:hint="eastAsia"/>
              </w:rPr>
            </w:pPr>
            <w:r>
              <w:rPr>
                <w:sz w:val="16"/>
              </w:rPr>
              <w:t>Queue-based execution avoids provisioning worker fleets.</w:t>
            </w:r>
          </w:p>
        </w:tc>
      </w:tr>
      <w:tr w:rsidR="00B30D98">
        <w:trPr>
          <w:jc w:val="center"/>
        </w:trPr>
        <w:tc>
          <w:tcPr>
            <w:tcW w:w="5112" w:type="dxa"/>
            <w:vAlign w:val="center"/>
          </w:tcPr>
          <w:p w:rsidR="00B30D98" w:rsidRDefault="00D75835">
            <w:pPr>
              <w:rPr>
                <w:rFonts w:hint="eastAsia"/>
              </w:rPr>
            </w:pPr>
            <w:r>
              <w:rPr>
                <w:sz w:val="16"/>
              </w:rPr>
              <w:t>Pub/Sub/Eventarc</w:t>
            </w:r>
          </w:p>
        </w:tc>
        <w:tc>
          <w:tcPr>
            <w:tcW w:w="5112" w:type="dxa"/>
            <w:vAlign w:val="center"/>
          </w:tcPr>
          <w:p w:rsidR="00B30D98" w:rsidRDefault="00D75835">
            <w:pPr>
              <w:rPr>
                <w:rFonts w:hint="eastAsia"/>
              </w:rPr>
            </w:pPr>
            <w:r>
              <w:rPr>
                <w:sz w:val="16"/>
              </w:rPr>
              <w:t xml:space="preserve">Managed event </w:t>
            </w:r>
            <w:r>
              <w:rPr>
                <w:sz w:val="16"/>
              </w:rPr>
              <w:t>delivery; no custom brokers.</w:t>
            </w:r>
          </w:p>
        </w:tc>
      </w:tr>
      <w:tr w:rsidR="00B30D98">
        <w:trPr>
          <w:jc w:val="center"/>
        </w:trPr>
        <w:tc>
          <w:tcPr>
            <w:tcW w:w="5112" w:type="dxa"/>
            <w:vAlign w:val="center"/>
          </w:tcPr>
          <w:p w:rsidR="00B30D98" w:rsidRDefault="00D75835">
            <w:pPr>
              <w:rPr>
                <w:rFonts w:hint="eastAsia"/>
              </w:rPr>
            </w:pPr>
            <w:r>
              <w:rPr>
                <w:sz w:val="16"/>
              </w:rPr>
              <w:t>Cloud Asset Inventory</w:t>
            </w:r>
          </w:p>
        </w:tc>
        <w:tc>
          <w:tcPr>
            <w:tcW w:w="5112" w:type="dxa"/>
            <w:vAlign w:val="center"/>
          </w:tcPr>
          <w:p w:rsidR="00B30D98" w:rsidRDefault="00D75835">
            <w:pPr>
              <w:rPr>
                <w:rFonts w:hint="eastAsia"/>
              </w:rPr>
            </w:pPr>
            <w:r>
              <w:rPr>
                <w:sz w:val="16"/>
              </w:rPr>
              <w:t>Central discovery avoids bespoke per-service inventory collectors.</w:t>
            </w:r>
          </w:p>
        </w:tc>
      </w:tr>
      <w:tr w:rsidR="00B30D98">
        <w:trPr>
          <w:jc w:val="center"/>
        </w:trPr>
        <w:tc>
          <w:tcPr>
            <w:tcW w:w="5112" w:type="dxa"/>
            <w:vAlign w:val="center"/>
          </w:tcPr>
          <w:p w:rsidR="00B30D98" w:rsidRDefault="00D75835">
            <w:pPr>
              <w:rPr>
                <w:rFonts w:hint="eastAsia"/>
              </w:rPr>
            </w:pPr>
            <w:r>
              <w:rPr>
                <w:sz w:val="16"/>
              </w:rPr>
              <w:t>BigQuery</w:t>
            </w:r>
          </w:p>
        </w:tc>
        <w:tc>
          <w:tcPr>
            <w:tcW w:w="5112" w:type="dxa"/>
            <w:vAlign w:val="center"/>
          </w:tcPr>
          <w:p w:rsidR="00B30D98" w:rsidRDefault="00D75835">
            <w:pPr>
              <w:rPr>
                <w:rFonts w:hint="eastAsia"/>
              </w:rPr>
            </w:pPr>
            <w:r>
              <w:rPr>
                <w:sz w:val="16"/>
              </w:rPr>
              <w:t>Serverless reporting; partition/cluster high-volume history as data grows.</w:t>
            </w:r>
          </w:p>
        </w:tc>
      </w:tr>
      <w:tr w:rsidR="00B30D98">
        <w:trPr>
          <w:jc w:val="center"/>
        </w:trPr>
        <w:tc>
          <w:tcPr>
            <w:tcW w:w="5112" w:type="dxa"/>
            <w:vAlign w:val="center"/>
          </w:tcPr>
          <w:p w:rsidR="00B30D98" w:rsidRDefault="00D75835">
            <w:pPr>
              <w:rPr>
                <w:rFonts w:hint="eastAsia"/>
              </w:rPr>
            </w:pPr>
            <w:r>
              <w:rPr>
                <w:sz w:val="16"/>
              </w:rPr>
              <w:t>Dashboard</w:t>
            </w:r>
          </w:p>
        </w:tc>
        <w:tc>
          <w:tcPr>
            <w:tcW w:w="5112" w:type="dxa"/>
            <w:vAlign w:val="center"/>
          </w:tcPr>
          <w:p w:rsidR="00B30D98" w:rsidRDefault="00D75835">
            <w:pPr>
              <w:rPr>
                <w:rFonts w:hint="eastAsia"/>
              </w:rPr>
            </w:pPr>
            <w:r>
              <w:rPr>
                <w:sz w:val="16"/>
              </w:rPr>
              <w:t>Separate low-privilege Cloud Run service;</w:t>
            </w:r>
            <w:r>
              <w:rPr>
                <w:sz w:val="16"/>
              </w:rPr>
              <w:t xml:space="preserve"> scales independently of governance engine.</w:t>
            </w:r>
          </w:p>
        </w:tc>
      </w:tr>
    </w:tbl>
    <w:p w:rsidR="00B30D98" w:rsidRDefault="00B30D98">
      <w:pPr>
        <w:rPr>
          <w:rFonts w:hint="eastAsia"/>
        </w:rPr>
      </w:pPr>
    </w:p>
    <w:p w:rsidR="00B30D98" w:rsidRDefault="00D75835">
      <w:pPr>
        <w:pStyle w:val="Heading1"/>
      </w:pPr>
      <w:r>
        <w:t>14. Deployment and SDLC</w:t>
      </w:r>
    </w:p>
    <w:p w:rsidR="00B30D98" w:rsidRDefault="00D75835">
      <w:pPr>
        <w:rPr>
          <w:rFonts w:hint="eastAsia"/>
        </w:rPr>
      </w:pPr>
      <w:r>
        <w:t xml:space="preserve">Infrastructure is provisioned through Terraform. GitHub Actions performs validation and deployment using Workload Identity Federation. Registry changes should be validated before merge </w:t>
      </w:r>
      <w:r>
        <w:t>so malformed or incomplete metadata cannot become the production source of truth.</w:t>
      </w:r>
    </w:p>
    <w:p w:rsidR="00B30D98" w:rsidRDefault="00D75835">
      <w:pPr>
        <w:pStyle w:val="ListBullet"/>
        <w:rPr>
          <w:rFonts w:hint="eastAsia"/>
        </w:rPr>
      </w:pPr>
      <w:r>
        <w:t>Terraform for APIs, IAM, service accounts, Cloud Run, BigQuery, Pub/Sub/Eventarc, Cloud Tasks and supporting resources.</w:t>
      </w:r>
    </w:p>
    <w:p w:rsidR="00B30D98" w:rsidRDefault="00D75835">
      <w:pPr>
        <w:pStyle w:val="ListBullet"/>
        <w:rPr>
          <w:rFonts w:hint="eastAsia"/>
        </w:rPr>
      </w:pPr>
      <w:r>
        <w:t>GitHub pull-request review for registry and code chang</w:t>
      </w:r>
      <w:r>
        <w:t>es.</w:t>
      </w:r>
    </w:p>
    <w:p w:rsidR="00B30D98" w:rsidRDefault="00D75835">
      <w:pPr>
        <w:pStyle w:val="ListBullet"/>
        <w:rPr>
          <w:rFonts w:hint="eastAsia"/>
        </w:rPr>
      </w:pPr>
      <w:r>
        <w:t>Automated registry schema/value validation.</w:t>
      </w:r>
    </w:p>
    <w:p w:rsidR="00B30D98" w:rsidRDefault="00D75835">
      <w:pPr>
        <w:pStyle w:val="ListBullet"/>
        <w:rPr>
          <w:rFonts w:hint="eastAsia"/>
        </w:rPr>
      </w:pPr>
      <w:r>
        <w:t>Workload Identity Federation for CI/CD authentication.</w:t>
      </w:r>
    </w:p>
    <w:p w:rsidR="00B30D98" w:rsidRDefault="00D75835">
      <w:pPr>
        <w:pStyle w:val="ListBullet"/>
        <w:rPr>
          <w:rFonts w:hint="eastAsia"/>
        </w:rPr>
      </w:pPr>
      <w:r>
        <w:t>Environment-specific configuration without embedding client values in Python.</w:t>
      </w:r>
    </w:p>
    <w:p w:rsidR="00B30D98" w:rsidRDefault="00D75835">
      <w:pPr>
        <w:pStyle w:val="ListBullet"/>
        <w:rPr>
          <w:rFonts w:hint="eastAsia"/>
        </w:rPr>
      </w:pPr>
      <w:r>
        <w:t>Promotion and rollback procedures for application images and infrastructure</w:t>
      </w:r>
      <w:r>
        <w:t xml:space="preserve"> changes.</w:t>
      </w:r>
    </w:p>
    <w:p w:rsidR="00B30D98" w:rsidRDefault="00D75835">
      <w:pPr>
        <w:pStyle w:val="Heading1"/>
      </w:pPr>
      <w:r>
        <w:t>15. Governance Operating Model</w:t>
      </w:r>
    </w:p>
    <w:tbl>
      <w:tblPr>
        <w:tblStyle w:val="TableGrid"/>
        <w:tblW w:w="0" w:type="auto"/>
        <w:jc w:val="center"/>
        <w:tblLook w:val="04A0" w:firstRow="1" w:lastRow="0" w:firstColumn="1" w:lastColumn="0" w:noHBand="0" w:noVBand="1"/>
      </w:tblPr>
      <w:tblGrid>
        <w:gridCol w:w="5112"/>
        <w:gridCol w:w="5112"/>
      </w:tblGrid>
      <w:tr w:rsidR="00B30D98">
        <w:trPr>
          <w:jc w:val="center"/>
        </w:trPr>
        <w:tc>
          <w:tcPr>
            <w:tcW w:w="5112" w:type="dxa"/>
            <w:shd w:val="clear" w:color="auto" w:fill="1F4E79"/>
          </w:tcPr>
          <w:p w:rsidR="00B30D98" w:rsidRDefault="00D75835">
            <w:pPr>
              <w:rPr>
                <w:rFonts w:hint="eastAsia"/>
              </w:rPr>
            </w:pPr>
            <w:r>
              <w:rPr>
                <w:b/>
                <w:color w:val="FFFFFF"/>
                <w:sz w:val="17"/>
              </w:rPr>
              <w:t>Role</w:t>
            </w:r>
          </w:p>
        </w:tc>
        <w:tc>
          <w:tcPr>
            <w:tcW w:w="5112" w:type="dxa"/>
            <w:shd w:val="clear" w:color="auto" w:fill="1F4E79"/>
          </w:tcPr>
          <w:p w:rsidR="00B30D98" w:rsidRDefault="00D75835">
            <w:pPr>
              <w:rPr>
                <w:rFonts w:hint="eastAsia"/>
              </w:rPr>
            </w:pPr>
            <w:r>
              <w:rPr>
                <w:b/>
                <w:color w:val="FFFFFF"/>
                <w:sz w:val="17"/>
              </w:rPr>
              <w:t>Accountability</w:t>
            </w:r>
          </w:p>
        </w:tc>
      </w:tr>
      <w:tr w:rsidR="00B30D98">
        <w:trPr>
          <w:jc w:val="center"/>
        </w:trPr>
        <w:tc>
          <w:tcPr>
            <w:tcW w:w="5112" w:type="dxa"/>
            <w:vAlign w:val="center"/>
          </w:tcPr>
          <w:p w:rsidR="00B30D98" w:rsidRDefault="00D75835">
            <w:pPr>
              <w:rPr>
                <w:rFonts w:hint="eastAsia"/>
              </w:rPr>
            </w:pPr>
            <w:r>
              <w:rPr>
                <w:sz w:val="16"/>
              </w:rPr>
              <w:t>Platform Governance Owner</w:t>
            </w:r>
          </w:p>
        </w:tc>
        <w:tc>
          <w:tcPr>
            <w:tcW w:w="5112" w:type="dxa"/>
            <w:vAlign w:val="center"/>
          </w:tcPr>
          <w:p w:rsidR="00B30D98" w:rsidRDefault="00D75835">
            <w:pPr>
              <w:rPr>
                <w:rFonts w:hint="eastAsia"/>
              </w:rPr>
            </w:pPr>
            <w:r>
              <w:rPr>
                <w:sz w:val="16"/>
              </w:rPr>
              <w:t>Own metadata standard, platform policy and exception process.</w:t>
            </w:r>
          </w:p>
        </w:tc>
      </w:tr>
      <w:tr w:rsidR="00B30D98">
        <w:trPr>
          <w:jc w:val="center"/>
        </w:trPr>
        <w:tc>
          <w:tcPr>
            <w:tcW w:w="5112" w:type="dxa"/>
            <w:vAlign w:val="center"/>
          </w:tcPr>
          <w:p w:rsidR="00B30D98" w:rsidRDefault="00D75835">
            <w:pPr>
              <w:rPr>
                <w:rFonts w:hint="eastAsia"/>
              </w:rPr>
            </w:pPr>
            <w:r>
              <w:rPr>
                <w:sz w:val="16"/>
              </w:rPr>
              <w:t>Application Owner</w:t>
            </w:r>
          </w:p>
        </w:tc>
        <w:tc>
          <w:tcPr>
            <w:tcW w:w="5112" w:type="dxa"/>
            <w:vAlign w:val="center"/>
          </w:tcPr>
          <w:p w:rsidR="00B30D98" w:rsidRDefault="00D75835">
            <w:pPr>
              <w:rPr>
                <w:rFonts w:hint="eastAsia"/>
              </w:rPr>
            </w:pPr>
            <w:r>
              <w:rPr>
                <w:sz w:val="16"/>
              </w:rPr>
              <w:t>Provide/approve application metadata and ownership.</w:t>
            </w:r>
          </w:p>
        </w:tc>
      </w:tr>
      <w:tr w:rsidR="00B30D98">
        <w:trPr>
          <w:jc w:val="center"/>
        </w:trPr>
        <w:tc>
          <w:tcPr>
            <w:tcW w:w="5112" w:type="dxa"/>
            <w:vAlign w:val="center"/>
          </w:tcPr>
          <w:p w:rsidR="00B30D98" w:rsidRDefault="00D75835">
            <w:pPr>
              <w:rPr>
                <w:rFonts w:hint="eastAsia"/>
              </w:rPr>
            </w:pPr>
            <w:r>
              <w:rPr>
                <w:sz w:val="16"/>
              </w:rPr>
              <w:t>FinOps</w:t>
            </w:r>
          </w:p>
        </w:tc>
        <w:tc>
          <w:tcPr>
            <w:tcW w:w="5112" w:type="dxa"/>
            <w:vAlign w:val="center"/>
          </w:tcPr>
          <w:p w:rsidR="00B30D98" w:rsidRDefault="00D75835">
            <w:pPr>
              <w:rPr>
                <w:rFonts w:hint="eastAsia"/>
              </w:rPr>
            </w:pPr>
            <w:r>
              <w:rPr>
                <w:sz w:val="16"/>
              </w:rPr>
              <w:t xml:space="preserve">Own cost allocation </w:t>
            </w:r>
            <w:r>
              <w:rPr>
                <w:sz w:val="16"/>
              </w:rPr>
              <w:t>semantics and reporting requirements.</w:t>
            </w:r>
          </w:p>
        </w:tc>
      </w:tr>
      <w:tr w:rsidR="00B30D98">
        <w:trPr>
          <w:jc w:val="center"/>
        </w:trPr>
        <w:tc>
          <w:tcPr>
            <w:tcW w:w="5112" w:type="dxa"/>
            <w:vAlign w:val="center"/>
          </w:tcPr>
          <w:p w:rsidR="00B30D98" w:rsidRDefault="00D75835">
            <w:pPr>
              <w:rPr>
                <w:rFonts w:hint="eastAsia"/>
              </w:rPr>
            </w:pPr>
            <w:r>
              <w:rPr>
                <w:sz w:val="16"/>
              </w:rPr>
              <w:t>Platform Engineering</w:t>
            </w:r>
          </w:p>
        </w:tc>
        <w:tc>
          <w:tcPr>
            <w:tcW w:w="5112" w:type="dxa"/>
            <w:vAlign w:val="center"/>
          </w:tcPr>
          <w:p w:rsidR="00B30D98" w:rsidRDefault="00D75835">
            <w:pPr>
              <w:rPr>
                <w:rFonts w:hint="eastAsia"/>
              </w:rPr>
            </w:pPr>
            <w:r>
              <w:rPr>
                <w:sz w:val="16"/>
              </w:rPr>
              <w:t>Operate platform, adapters, deployment and reliability.</w:t>
            </w:r>
          </w:p>
        </w:tc>
      </w:tr>
      <w:tr w:rsidR="00B30D98">
        <w:trPr>
          <w:jc w:val="center"/>
        </w:trPr>
        <w:tc>
          <w:tcPr>
            <w:tcW w:w="5112" w:type="dxa"/>
            <w:vAlign w:val="center"/>
          </w:tcPr>
          <w:p w:rsidR="00B30D98" w:rsidRDefault="00D75835">
            <w:pPr>
              <w:rPr>
                <w:rFonts w:hint="eastAsia"/>
              </w:rPr>
            </w:pPr>
            <w:r>
              <w:rPr>
                <w:sz w:val="16"/>
              </w:rPr>
              <w:t>Security/IAM</w:t>
            </w:r>
          </w:p>
        </w:tc>
        <w:tc>
          <w:tcPr>
            <w:tcW w:w="5112" w:type="dxa"/>
            <w:vAlign w:val="center"/>
          </w:tcPr>
          <w:p w:rsidR="00B30D98" w:rsidRDefault="00D75835">
            <w:pPr>
              <w:rPr>
                <w:rFonts w:hint="eastAsia"/>
              </w:rPr>
            </w:pPr>
            <w:r>
              <w:rPr>
                <w:sz w:val="16"/>
              </w:rPr>
              <w:t>Approve service identities, role boundaries and organisation access.</w:t>
            </w:r>
          </w:p>
        </w:tc>
      </w:tr>
      <w:tr w:rsidR="00B30D98">
        <w:trPr>
          <w:jc w:val="center"/>
        </w:trPr>
        <w:tc>
          <w:tcPr>
            <w:tcW w:w="5112" w:type="dxa"/>
            <w:vAlign w:val="center"/>
          </w:tcPr>
          <w:p w:rsidR="00B30D98" w:rsidRDefault="00D75835">
            <w:pPr>
              <w:rPr>
                <w:rFonts w:hint="eastAsia"/>
              </w:rPr>
            </w:pPr>
            <w:r>
              <w:rPr>
                <w:sz w:val="16"/>
              </w:rPr>
              <w:t>Operations</w:t>
            </w:r>
          </w:p>
        </w:tc>
        <w:tc>
          <w:tcPr>
            <w:tcW w:w="5112" w:type="dxa"/>
            <w:vAlign w:val="center"/>
          </w:tcPr>
          <w:p w:rsidR="00B30D98" w:rsidRDefault="00D75835">
            <w:pPr>
              <w:rPr>
                <w:rFonts w:hint="eastAsia"/>
              </w:rPr>
            </w:pPr>
            <w:r>
              <w:rPr>
                <w:sz w:val="16"/>
              </w:rPr>
              <w:t>Monitor failed remediation and unresolved res</w:t>
            </w:r>
            <w:r>
              <w:rPr>
                <w:sz w:val="16"/>
              </w:rPr>
              <w:t>ources.</w:t>
            </w:r>
          </w:p>
        </w:tc>
      </w:tr>
    </w:tbl>
    <w:p w:rsidR="00B30D98" w:rsidRDefault="00B30D98"/>
    <w:p w:rsidR="00E41ED5" w:rsidRDefault="00E41ED5">
      <w:pPr>
        <w:rPr>
          <w:rFonts w:hint="eastAsia"/>
        </w:rPr>
      </w:pPr>
    </w:p>
    <w:p w:rsidR="00E41ED5" w:rsidRDefault="00E41ED5">
      <w:pPr>
        <w:pStyle w:val="Heading1"/>
      </w:pPr>
    </w:p>
    <w:p w:rsidR="00B30D98" w:rsidRDefault="00D75835">
      <w:pPr>
        <w:pStyle w:val="Heading1"/>
      </w:pPr>
      <w:r>
        <w:t>16. Production Readiness Gates</w:t>
      </w:r>
    </w:p>
    <w:p w:rsidR="00B30D98" w:rsidRDefault="00D75835">
      <w:pPr>
        <w:pStyle w:val="ListBullet"/>
        <w:rPr>
          <w:rFonts w:hint="eastAsia"/>
        </w:rPr>
      </w:pPr>
      <w:r>
        <w:t>Confirm organisation/folder/project scope and required IAM grants.</w:t>
      </w:r>
    </w:p>
    <w:p w:rsidR="00B30D98" w:rsidRDefault="00D75835">
      <w:pPr>
        <w:pStyle w:val="ListBullet"/>
        <w:rPr>
          <w:rFonts w:hint="eastAsia"/>
        </w:rPr>
      </w:pPr>
      <w:r>
        <w:t>Confirm the authoritative application-resolution model, especially for shared projects.</w:t>
      </w:r>
    </w:p>
    <w:p w:rsidR="00B30D98" w:rsidRDefault="00D75835">
      <w:pPr>
        <w:pStyle w:val="ListBullet"/>
        <w:rPr>
          <w:rFonts w:hint="eastAsia"/>
        </w:rPr>
      </w:pPr>
      <w:r>
        <w:t>Approve mandatory metadata keys, value taxonomy and exceptio</w:t>
      </w:r>
      <w:r>
        <w:t>n process.</w:t>
      </w:r>
    </w:p>
    <w:p w:rsidR="00B30D98" w:rsidRDefault="00D75835">
      <w:pPr>
        <w:pStyle w:val="ListBullet"/>
        <w:rPr>
          <w:rFonts w:hint="eastAsia"/>
        </w:rPr>
      </w:pPr>
      <w:r>
        <w:t>Validate every enabled resource adapter against current official GCP behaviour.</w:t>
      </w:r>
    </w:p>
    <w:p w:rsidR="00B30D98" w:rsidRDefault="00D75835">
      <w:pPr>
        <w:pStyle w:val="ListBullet"/>
        <w:rPr>
          <w:rFonts w:hint="eastAsia"/>
        </w:rPr>
      </w:pPr>
      <w:r>
        <w:t>Validate the organisation aggregated log sink filter for all enabled greenfield resource families.</w:t>
      </w:r>
    </w:p>
    <w:p w:rsidR="00B30D98" w:rsidRDefault="00D75835">
      <w:pPr>
        <w:pStyle w:val="ListBullet"/>
        <w:rPr>
          <w:rFonts w:hint="eastAsia"/>
        </w:rPr>
      </w:pPr>
      <w:r>
        <w:t>Complete scale/performance test representative of the client's 90k</w:t>
      </w:r>
      <w:r>
        <w:t>+ resource estate.</w:t>
      </w:r>
    </w:p>
    <w:p w:rsidR="00B30D98" w:rsidRDefault="00D75835">
      <w:pPr>
        <w:pStyle w:val="ListBullet"/>
        <w:rPr>
          <w:rFonts w:hint="eastAsia"/>
        </w:rPr>
      </w:pPr>
      <w:r>
        <w:t>Complete least-privilege IAM review for engine, worker, dashboard, Eventarc and Cloud Tasks identities.</w:t>
      </w:r>
    </w:p>
    <w:p w:rsidR="00B30D98" w:rsidRDefault="00D75835">
      <w:pPr>
        <w:pStyle w:val="ListBullet"/>
        <w:rPr>
          <w:rFonts w:hint="eastAsia"/>
        </w:rPr>
      </w:pPr>
      <w:r>
        <w:t>Enable operational monitoring and alerting.</w:t>
      </w:r>
    </w:p>
    <w:p w:rsidR="00B30D98" w:rsidRDefault="00D75835">
      <w:pPr>
        <w:pStyle w:val="ListBullet"/>
        <w:rPr>
          <w:rFonts w:hint="eastAsia"/>
        </w:rPr>
      </w:pPr>
      <w:r>
        <w:t>Define BigQuery retention/partitioning and dashboard query controls.</w:t>
      </w:r>
    </w:p>
    <w:p w:rsidR="00B30D98" w:rsidRDefault="00D75835">
      <w:pPr>
        <w:pStyle w:val="ListBullet"/>
        <w:rPr>
          <w:rFonts w:hint="eastAsia"/>
        </w:rPr>
      </w:pPr>
      <w:r>
        <w:t xml:space="preserve">Complete rollback </w:t>
      </w:r>
      <w:r>
        <w:t>and remediation-disable procedures before organisation-wide enforcement.</w:t>
      </w:r>
    </w:p>
    <w:p w:rsidR="00B30D98" w:rsidRDefault="00D75835">
      <w:pPr>
        <w:pStyle w:val="Heading1"/>
      </w:pPr>
      <w:r>
        <w:t>17. Final Target State</w:t>
      </w:r>
    </w:p>
    <w:p w:rsidR="00B30D98" w:rsidRDefault="00D75835">
      <w:pPr>
        <w:rPr>
          <w:rFonts w:hint="eastAsia"/>
        </w:rPr>
      </w:pPr>
      <w:r>
        <w:t>The target state is a central, registry-driven GCP metadata governance platform in which business ownership metadata is managed once and enforced consistently</w:t>
      </w:r>
      <w:r>
        <w:t xml:space="preserve"> across supported resources. Brownfield and Greenfield paths share the same classification, compliance and adapter model. Enforcement services remain private, the dashboard is independently authenticated and read-only, and the entire platform is deployed t</w:t>
      </w:r>
      <w:r>
        <w:t>hrough Infrastructure as Code.</w:t>
      </w:r>
    </w:p>
    <w:p w:rsidR="00B30D98" w:rsidRDefault="00D75835">
      <w:pPr>
        <w:rPr>
          <w:rFonts w:hint="eastAsia"/>
        </w:rPr>
      </w:pPr>
      <w:r>
        <w:t>The architecture is intentionally modular: adding a new GCP resource family should require capability verification and a resource adapter, not a redesign of the governance engine. This supports enterprise growth while retaini</w:t>
      </w:r>
      <w:r>
        <w:t>ng explicit control over which services are safe to remediate automatically.</w:t>
      </w:r>
    </w:p>
    <w:p w:rsidR="00B30D98" w:rsidRDefault="00D75835">
      <w:pPr>
        <w:pStyle w:val="Heading2"/>
      </w:pPr>
      <w:r>
        <w:t>17.1 Architecture Decision Summary</w:t>
      </w:r>
    </w:p>
    <w:tbl>
      <w:tblPr>
        <w:tblStyle w:val="TableGrid"/>
        <w:tblW w:w="0" w:type="auto"/>
        <w:jc w:val="center"/>
        <w:tblLook w:val="04A0" w:firstRow="1" w:lastRow="0" w:firstColumn="1" w:lastColumn="0" w:noHBand="0" w:noVBand="1"/>
      </w:tblPr>
      <w:tblGrid>
        <w:gridCol w:w="5112"/>
        <w:gridCol w:w="5112"/>
      </w:tblGrid>
      <w:tr w:rsidR="00B30D98">
        <w:trPr>
          <w:jc w:val="center"/>
        </w:trPr>
        <w:tc>
          <w:tcPr>
            <w:tcW w:w="5112" w:type="dxa"/>
            <w:shd w:val="clear" w:color="auto" w:fill="1F4E79"/>
          </w:tcPr>
          <w:p w:rsidR="00B30D98" w:rsidRDefault="00D75835">
            <w:pPr>
              <w:rPr>
                <w:rFonts w:hint="eastAsia"/>
              </w:rPr>
            </w:pPr>
            <w:r>
              <w:rPr>
                <w:b/>
                <w:color w:val="FFFFFF"/>
                <w:sz w:val="17"/>
              </w:rPr>
              <w:t>ADR</w:t>
            </w:r>
          </w:p>
        </w:tc>
        <w:tc>
          <w:tcPr>
            <w:tcW w:w="5112" w:type="dxa"/>
            <w:shd w:val="clear" w:color="auto" w:fill="1F4E79"/>
          </w:tcPr>
          <w:p w:rsidR="00B30D98" w:rsidRDefault="00D75835">
            <w:pPr>
              <w:rPr>
                <w:rFonts w:hint="eastAsia"/>
              </w:rPr>
            </w:pPr>
            <w:r>
              <w:rPr>
                <w:b/>
                <w:color w:val="FFFFFF"/>
                <w:sz w:val="17"/>
              </w:rPr>
              <w:t>Decision</w:t>
            </w:r>
          </w:p>
        </w:tc>
      </w:tr>
      <w:tr w:rsidR="00B30D98">
        <w:trPr>
          <w:jc w:val="center"/>
        </w:trPr>
        <w:tc>
          <w:tcPr>
            <w:tcW w:w="5112" w:type="dxa"/>
            <w:vAlign w:val="center"/>
          </w:tcPr>
          <w:p w:rsidR="00B30D98" w:rsidRDefault="00D75835">
            <w:pPr>
              <w:rPr>
                <w:rFonts w:hint="eastAsia"/>
              </w:rPr>
            </w:pPr>
            <w:r>
              <w:rPr>
                <w:sz w:val="16"/>
              </w:rPr>
              <w:t>ADR-01</w:t>
            </w:r>
          </w:p>
        </w:tc>
        <w:tc>
          <w:tcPr>
            <w:tcW w:w="5112" w:type="dxa"/>
            <w:vAlign w:val="center"/>
          </w:tcPr>
          <w:p w:rsidR="00B30D98" w:rsidRDefault="00D75835">
            <w:pPr>
              <w:rPr>
                <w:rFonts w:hint="eastAsia"/>
              </w:rPr>
            </w:pPr>
            <w:r>
              <w:rPr>
                <w:sz w:val="16"/>
              </w:rPr>
              <w:t>Use a central Governance Registry as the metadata source of truth.</w:t>
            </w:r>
          </w:p>
        </w:tc>
      </w:tr>
      <w:tr w:rsidR="00B30D98">
        <w:trPr>
          <w:jc w:val="center"/>
        </w:trPr>
        <w:tc>
          <w:tcPr>
            <w:tcW w:w="5112" w:type="dxa"/>
            <w:vAlign w:val="center"/>
          </w:tcPr>
          <w:p w:rsidR="00B30D98" w:rsidRDefault="00D75835">
            <w:pPr>
              <w:rPr>
                <w:rFonts w:hint="eastAsia"/>
              </w:rPr>
            </w:pPr>
            <w:r>
              <w:rPr>
                <w:sz w:val="16"/>
              </w:rPr>
              <w:t>ADR-02</w:t>
            </w:r>
          </w:p>
        </w:tc>
        <w:tc>
          <w:tcPr>
            <w:tcW w:w="5112" w:type="dxa"/>
            <w:vAlign w:val="center"/>
          </w:tcPr>
          <w:p w:rsidR="00B30D98" w:rsidRDefault="00D75835">
            <w:pPr>
              <w:rPr>
                <w:rFonts w:hint="eastAsia"/>
              </w:rPr>
            </w:pPr>
            <w:r>
              <w:rPr>
                <w:sz w:val="16"/>
              </w:rPr>
              <w:t>Deploy the control plane into a dedicated govern</w:t>
            </w:r>
            <w:r>
              <w:rPr>
                <w:sz w:val="16"/>
              </w:rPr>
              <w:t>ance project.</w:t>
            </w:r>
          </w:p>
        </w:tc>
      </w:tr>
      <w:tr w:rsidR="00B30D98">
        <w:trPr>
          <w:jc w:val="center"/>
        </w:trPr>
        <w:tc>
          <w:tcPr>
            <w:tcW w:w="5112" w:type="dxa"/>
            <w:vAlign w:val="center"/>
          </w:tcPr>
          <w:p w:rsidR="00B30D98" w:rsidRDefault="00D75835">
            <w:pPr>
              <w:rPr>
                <w:rFonts w:hint="eastAsia"/>
              </w:rPr>
            </w:pPr>
            <w:r>
              <w:rPr>
                <w:sz w:val="16"/>
              </w:rPr>
              <w:t>ADR-03</w:t>
            </w:r>
          </w:p>
        </w:tc>
        <w:tc>
          <w:tcPr>
            <w:tcW w:w="5112" w:type="dxa"/>
            <w:vAlign w:val="center"/>
          </w:tcPr>
          <w:p w:rsidR="00B30D98" w:rsidRDefault="00D75835">
            <w:pPr>
              <w:rPr>
                <w:rFonts w:hint="eastAsia"/>
              </w:rPr>
            </w:pPr>
            <w:r>
              <w:rPr>
                <w:sz w:val="16"/>
              </w:rPr>
              <w:t>Use Cloud Asset Inventory for brownfield discovery.</w:t>
            </w:r>
          </w:p>
        </w:tc>
      </w:tr>
      <w:tr w:rsidR="00B30D98">
        <w:trPr>
          <w:jc w:val="center"/>
        </w:trPr>
        <w:tc>
          <w:tcPr>
            <w:tcW w:w="5112" w:type="dxa"/>
            <w:vAlign w:val="center"/>
          </w:tcPr>
          <w:p w:rsidR="00B30D98" w:rsidRDefault="00D75835">
            <w:pPr>
              <w:rPr>
                <w:rFonts w:hint="eastAsia"/>
              </w:rPr>
            </w:pPr>
            <w:r>
              <w:rPr>
                <w:sz w:val="16"/>
              </w:rPr>
              <w:t>ADR-04</w:t>
            </w:r>
          </w:p>
        </w:tc>
        <w:tc>
          <w:tcPr>
            <w:tcW w:w="5112" w:type="dxa"/>
            <w:vAlign w:val="center"/>
          </w:tcPr>
          <w:p w:rsidR="00B30D98" w:rsidRDefault="00D75835">
            <w:pPr>
              <w:rPr>
                <w:rFonts w:hint="eastAsia"/>
              </w:rPr>
            </w:pPr>
            <w:r>
              <w:rPr>
                <w:sz w:val="16"/>
              </w:rPr>
              <w:t>Use Cloud Logging + Pub/Sub + Eventarc for verified greenfield creation events.</w:t>
            </w:r>
          </w:p>
        </w:tc>
      </w:tr>
      <w:tr w:rsidR="00B30D98">
        <w:trPr>
          <w:jc w:val="center"/>
        </w:trPr>
        <w:tc>
          <w:tcPr>
            <w:tcW w:w="5112" w:type="dxa"/>
            <w:vAlign w:val="center"/>
          </w:tcPr>
          <w:p w:rsidR="00B30D98" w:rsidRDefault="00D75835">
            <w:pPr>
              <w:rPr>
                <w:rFonts w:hint="eastAsia"/>
              </w:rPr>
            </w:pPr>
            <w:r>
              <w:rPr>
                <w:sz w:val="16"/>
              </w:rPr>
              <w:t>ADR-05</w:t>
            </w:r>
          </w:p>
        </w:tc>
        <w:tc>
          <w:tcPr>
            <w:tcW w:w="5112" w:type="dxa"/>
            <w:vAlign w:val="center"/>
          </w:tcPr>
          <w:p w:rsidR="00B30D98" w:rsidRDefault="00D75835">
            <w:pPr>
              <w:rPr>
                <w:rFonts w:hint="eastAsia"/>
              </w:rPr>
            </w:pPr>
            <w:r>
              <w:rPr>
                <w:sz w:val="16"/>
              </w:rPr>
              <w:t>Use Cloud Run for serverless governance processing.</w:t>
            </w:r>
          </w:p>
        </w:tc>
      </w:tr>
      <w:tr w:rsidR="00B30D98">
        <w:trPr>
          <w:jc w:val="center"/>
        </w:trPr>
        <w:tc>
          <w:tcPr>
            <w:tcW w:w="5112" w:type="dxa"/>
            <w:vAlign w:val="center"/>
          </w:tcPr>
          <w:p w:rsidR="00B30D98" w:rsidRDefault="00D75835">
            <w:pPr>
              <w:rPr>
                <w:rFonts w:hint="eastAsia"/>
              </w:rPr>
            </w:pPr>
            <w:r>
              <w:rPr>
                <w:sz w:val="16"/>
              </w:rPr>
              <w:t>ADR-06</w:t>
            </w:r>
          </w:p>
        </w:tc>
        <w:tc>
          <w:tcPr>
            <w:tcW w:w="5112" w:type="dxa"/>
            <w:vAlign w:val="center"/>
          </w:tcPr>
          <w:p w:rsidR="00B30D98" w:rsidRDefault="00D75835">
            <w:pPr>
              <w:rPr>
                <w:rFonts w:hint="eastAsia"/>
              </w:rPr>
            </w:pPr>
            <w:r>
              <w:rPr>
                <w:sz w:val="16"/>
              </w:rPr>
              <w:t xml:space="preserve">Use Cloud Tasks for </w:t>
            </w:r>
            <w:r>
              <w:rPr>
                <w:sz w:val="16"/>
              </w:rPr>
              <w:t>scalable asynchronous remediation.</w:t>
            </w:r>
          </w:p>
        </w:tc>
      </w:tr>
      <w:tr w:rsidR="00B30D98">
        <w:trPr>
          <w:jc w:val="center"/>
        </w:trPr>
        <w:tc>
          <w:tcPr>
            <w:tcW w:w="5112" w:type="dxa"/>
            <w:vAlign w:val="center"/>
          </w:tcPr>
          <w:p w:rsidR="00B30D98" w:rsidRDefault="00D75835">
            <w:pPr>
              <w:rPr>
                <w:rFonts w:hint="eastAsia"/>
              </w:rPr>
            </w:pPr>
            <w:r>
              <w:rPr>
                <w:sz w:val="16"/>
              </w:rPr>
              <w:t>ADR-07</w:t>
            </w:r>
          </w:p>
        </w:tc>
        <w:tc>
          <w:tcPr>
            <w:tcW w:w="5112" w:type="dxa"/>
            <w:vAlign w:val="center"/>
          </w:tcPr>
          <w:p w:rsidR="00B30D98" w:rsidRDefault="00D75835">
            <w:pPr>
              <w:rPr>
                <w:rFonts w:hint="eastAsia"/>
              </w:rPr>
            </w:pPr>
            <w:r>
              <w:rPr>
                <w:sz w:val="16"/>
              </w:rPr>
              <w:t>Use modular resource adapters for labels/tags.</w:t>
            </w:r>
          </w:p>
        </w:tc>
      </w:tr>
      <w:tr w:rsidR="00B30D98">
        <w:trPr>
          <w:jc w:val="center"/>
        </w:trPr>
        <w:tc>
          <w:tcPr>
            <w:tcW w:w="5112" w:type="dxa"/>
            <w:vAlign w:val="center"/>
          </w:tcPr>
          <w:p w:rsidR="00B30D98" w:rsidRDefault="00D75835">
            <w:pPr>
              <w:rPr>
                <w:rFonts w:hint="eastAsia"/>
              </w:rPr>
            </w:pPr>
            <w:r>
              <w:rPr>
                <w:sz w:val="16"/>
              </w:rPr>
              <w:t>ADR-08</w:t>
            </w:r>
          </w:p>
        </w:tc>
        <w:tc>
          <w:tcPr>
            <w:tcW w:w="5112" w:type="dxa"/>
            <w:vAlign w:val="center"/>
          </w:tcPr>
          <w:p w:rsidR="00B30D98" w:rsidRDefault="00D75835">
            <w:pPr>
              <w:rPr>
                <w:rFonts w:hint="eastAsia"/>
              </w:rPr>
            </w:pPr>
            <w:r>
              <w:rPr>
                <w:sz w:val="16"/>
              </w:rPr>
              <w:t>Use BigQuery as the governance audit/reporting store.</w:t>
            </w:r>
          </w:p>
        </w:tc>
      </w:tr>
      <w:tr w:rsidR="00B30D98">
        <w:trPr>
          <w:jc w:val="center"/>
        </w:trPr>
        <w:tc>
          <w:tcPr>
            <w:tcW w:w="5112" w:type="dxa"/>
            <w:vAlign w:val="center"/>
          </w:tcPr>
          <w:p w:rsidR="00B30D98" w:rsidRDefault="00D75835">
            <w:pPr>
              <w:rPr>
                <w:rFonts w:hint="eastAsia"/>
              </w:rPr>
            </w:pPr>
            <w:r>
              <w:rPr>
                <w:sz w:val="16"/>
              </w:rPr>
              <w:t>ADR-09</w:t>
            </w:r>
          </w:p>
        </w:tc>
        <w:tc>
          <w:tcPr>
            <w:tcW w:w="5112" w:type="dxa"/>
            <w:vAlign w:val="center"/>
          </w:tcPr>
          <w:p w:rsidR="00B30D98" w:rsidRDefault="00D75835">
            <w:pPr>
              <w:rPr>
                <w:rFonts w:hint="eastAsia"/>
              </w:rPr>
            </w:pPr>
            <w:r>
              <w:rPr>
                <w:sz w:val="16"/>
              </w:rPr>
              <w:t>Separate the authenticated dashboard service from internal enforcement services.</w:t>
            </w:r>
          </w:p>
        </w:tc>
      </w:tr>
      <w:tr w:rsidR="00B30D98">
        <w:trPr>
          <w:jc w:val="center"/>
        </w:trPr>
        <w:tc>
          <w:tcPr>
            <w:tcW w:w="5112" w:type="dxa"/>
            <w:vAlign w:val="center"/>
          </w:tcPr>
          <w:p w:rsidR="00B30D98" w:rsidRDefault="00D75835">
            <w:pPr>
              <w:rPr>
                <w:rFonts w:hint="eastAsia"/>
              </w:rPr>
            </w:pPr>
            <w:r>
              <w:rPr>
                <w:sz w:val="16"/>
              </w:rPr>
              <w:t>ADR-10</w:t>
            </w:r>
          </w:p>
        </w:tc>
        <w:tc>
          <w:tcPr>
            <w:tcW w:w="5112" w:type="dxa"/>
            <w:vAlign w:val="center"/>
          </w:tcPr>
          <w:p w:rsidR="00B30D98" w:rsidRDefault="00D75835">
            <w:pPr>
              <w:rPr>
                <w:rFonts w:hint="eastAsia"/>
              </w:rPr>
            </w:pPr>
            <w:r>
              <w:rPr>
                <w:sz w:val="16"/>
              </w:rPr>
              <w:t>Use Ter</w:t>
            </w:r>
            <w:r>
              <w:rPr>
                <w:sz w:val="16"/>
              </w:rPr>
              <w:t>raform + GitHub Actions + Workload Identity Federation for deployment.</w:t>
            </w:r>
          </w:p>
        </w:tc>
      </w:tr>
      <w:tr w:rsidR="00B30D98">
        <w:trPr>
          <w:jc w:val="center"/>
        </w:trPr>
        <w:tc>
          <w:tcPr>
            <w:tcW w:w="5112" w:type="dxa"/>
            <w:vAlign w:val="center"/>
          </w:tcPr>
          <w:p w:rsidR="00B30D98" w:rsidRDefault="00D75835">
            <w:pPr>
              <w:rPr>
                <w:rFonts w:hint="eastAsia"/>
              </w:rPr>
            </w:pPr>
            <w:r>
              <w:rPr>
                <w:sz w:val="16"/>
              </w:rPr>
              <w:t>ADR-11</w:t>
            </w:r>
          </w:p>
        </w:tc>
        <w:tc>
          <w:tcPr>
            <w:tcW w:w="5112" w:type="dxa"/>
            <w:vAlign w:val="center"/>
          </w:tcPr>
          <w:p w:rsidR="00B30D98" w:rsidRDefault="00D75835">
            <w:pPr>
              <w:rPr>
                <w:rFonts w:hint="eastAsia"/>
              </w:rPr>
            </w:pPr>
            <w:r>
              <w:rPr>
                <w:sz w:val="16"/>
              </w:rPr>
              <w:t>Do not infer application ownership where multiple applications share a project; require deterministic resolution.</w:t>
            </w:r>
          </w:p>
        </w:tc>
      </w:tr>
    </w:tbl>
    <w:p w:rsidR="00B30D98" w:rsidRDefault="00B30D98">
      <w:pPr>
        <w:rPr>
          <w:rFonts w:hint="eastAsia"/>
        </w:rPr>
      </w:pPr>
    </w:p>
    <w:p w:rsidR="00B30D98" w:rsidRDefault="00D75835">
      <w:pPr>
        <w:pStyle w:val="Heading1"/>
      </w:pPr>
      <w:r>
        <w:t>18. Review Sign-off</w:t>
      </w:r>
    </w:p>
    <w:tbl>
      <w:tblPr>
        <w:tblStyle w:val="TableGrid"/>
        <w:tblW w:w="0" w:type="auto"/>
        <w:jc w:val="center"/>
        <w:tblLook w:val="04A0" w:firstRow="1" w:lastRow="0" w:firstColumn="1" w:lastColumn="0" w:noHBand="0" w:noVBand="1"/>
      </w:tblPr>
      <w:tblGrid>
        <w:gridCol w:w="3408"/>
        <w:gridCol w:w="3408"/>
        <w:gridCol w:w="3408"/>
      </w:tblGrid>
      <w:tr w:rsidR="00B30D98">
        <w:trPr>
          <w:jc w:val="center"/>
        </w:trPr>
        <w:tc>
          <w:tcPr>
            <w:tcW w:w="3408" w:type="dxa"/>
            <w:shd w:val="clear" w:color="auto" w:fill="1F4E79"/>
          </w:tcPr>
          <w:p w:rsidR="00B30D98" w:rsidRDefault="00D75835">
            <w:pPr>
              <w:rPr>
                <w:rFonts w:hint="eastAsia"/>
              </w:rPr>
            </w:pPr>
            <w:r>
              <w:rPr>
                <w:b/>
                <w:color w:val="FFFFFF"/>
                <w:sz w:val="17"/>
              </w:rPr>
              <w:t>Review Area</w:t>
            </w:r>
          </w:p>
        </w:tc>
        <w:tc>
          <w:tcPr>
            <w:tcW w:w="3408" w:type="dxa"/>
            <w:shd w:val="clear" w:color="auto" w:fill="1F4E79"/>
          </w:tcPr>
          <w:p w:rsidR="00B30D98" w:rsidRDefault="00D75835">
            <w:pPr>
              <w:rPr>
                <w:rFonts w:hint="eastAsia"/>
              </w:rPr>
            </w:pPr>
            <w:r>
              <w:rPr>
                <w:b/>
                <w:color w:val="FFFFFF"/>
                <w:sz w:val="17"/>
              </w:rPr>
              <w:t>Owner</w:t>
            </w:r>
          </w:p>
        </w:tc>
        <w:tc>
          <w:tcPr>
            <w:tcW w:w="3408" w:type="dxa"/>
            <w:shd w:val="clear" w:color="auto" w:fill="1F4E79"/>
          </w:tcPr>
          <w:p w:rsidR="00B30D98" w:rsidRDefault="00D75835">
            <w:pPr>
              <w:rPr>
                <w:rFonts w:hint="eastAsia"/>
              </w:rPr>
            </w:pPr>
            <w:r>
              <w:rPr>
                <w:b/>
                <w:color w:val="FFFFFF"/>
                <w:sz w:val="17"/>
              </w:rPr>
              <w:t>Status / Comments</w:t>
            </w:r>
          </w:p>
        </w:tc>
      </w:tr>
      <w:tr w:rsidR="00B30D98">
        <w:trPr>
          <w:jc w:val="center"/>
        </w:trPr>
        <w:tc>
          <w:tcPr>
            <w:tcW w:w="3408" w:type="dxa"/>
            <w:vAlign w:val="center"/>
          </w:tcPr>
          <w:p w:rsidR="00B30D98" w:rsidRDefault="00D75835">
            <w:pPr>
              <w:rPr>
                <w:rFonts w:hint="eastAsia"/>
              </w:rPr>
            </w:pPr>
            <w:r>
              <w:rPr>
                <w:sz w:val="16"/>
              </w:rPr>
              <w:t>Enterprise Architecture</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r w:rsidR="00B30D98">
        <w:trPr>
          <w:jc w:val="center"/>
        </w:trPr>
        <w:tc>
          <w:tcPr>
            <w:tcW w:w="3408" w:type="dxa"/>
            <w:vAlign w:val="center"/>
          </w:tcPr>
          <w:p w:rsidR="00B30D98" w:rsidRDefault="00D75835">
            <w:pPr>
              <w:rPr>
                <w:rFonts w:hint="eastAsia"/>
              </w:rPr>
            </w:pPr>
            <w:r>
              <w:rPr>
                <w:sz w:val="16"/>
              </w:rPr>
              <w:t>Cloud Platform</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r w:rsidR="00B30D98">
        <w:trPr>
          <w:jc w:val="center"/>
        </w:trPr>
        <w:tc>
          <w:tcPr>
            <w:tcW w:w="3408" w:type="dxa"/>
            <w:vAlign w:val="center"/>
          </w:tcPr>
          <w:p w:rsidR="00B30D98" w:rsidRDefault="00D75835">
            <w:pPr>
              <w:rPr>
                <w:rFonts w:hint="eastAsia"/>
              </w:rPr>
            </w:pPr>
            <w:r>
              <w:rPr>
                <w:sz w:val="16"/>
              </w:rPr>
              <w:t>Security / IAM</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r w:rsidR="00B30D98">
        <w:trPr>
          <w:jc w:val="center"/>
        </w:trPr>
        <w:tc>
          <w:tcPr>
            <w:tcW w:w="3408" w:type="dxa"/>
            <w:vAlign w:val="center"/>
          </w:tcPr>
          <w:p w:rsidR="00B30D98" w:rsidRDefault="00D75835">
            <w:pPr>
              <w:rPr>
                <w:rFonts w:hint="eastAsia"/>
              </w:rPr>
            </w:pPr>
            <w:r>
              <w:rPr>
                <w:sz w:val="16"/>
              </w:rPr>
              <w:t>FinOps</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r w:rsidR="00B30D98">
        <w:trPr>
          <w:jc w:val="center"/>
        </w:trPr>
        <w:tc>
          <w:tcPr>
            <w:tcW w:w="3408" w:type="dxa"/>
            <w:vAlign w:val="center"/>
          </w:tcPr>
          <w:p w:rsidR="00B30D98" w:rsidRDefault="00D75835">
            <w:pPr>
              <w:rPr>
                <w:rFonts w:hint="eastAsia"/>
              </w:rPr>
            </w:pPr>
            <w:r>
              <w:rPr>
                <w:sz w:val="16"/>
              </w:rPr>
              <w:t>Application Governance</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r w:rsidR="00B30D98">
        <w:trPr>
          <w:jc w:val="center"/>
        </w:trPr>
        <w:tc>
          <w:tcPr>
            <w:tcW w:w="3408" w:type="dxa"/>
            <w:vAlign w:val="center"/>
          </w:tcPr>
          <w:p w:rsidR="00B30D98" w:rsidRDefault="00D75835">
            <w:pPr>
              <w:rPr>
                <w:rFonts w:hint="eastAsia"/>
              </w:rPr>
            </w:pPr>
            <w:r>
              <w:rPr>
                <w:sz w:val="16"/>
              </w:rPr>
              <w:t>Operations</w:t>
            </w:r>
          </w:p>
        </w:tc>
        <w:tc>
          <w:tcPr>
            <w:tcW w:w="3408" w:type="dxa"/>
            <w:vAlign w:val="center"/>
          </w:tcPr>
          <w:p w:rsidR="00B30D98" w:rsidRDefault="00B30D98">
            <w:pPr>
              <w:rPr>
                <w:rFonts w:hint="eastAsia"/>
              </w:rPr>
            </w:pPr>
          </w:p>
        </w:tc>
        <w:tc>
          <w:tcPr>
            <w:tcW w:w="3408" w:type="dxa"/>
            <w:vAlign w:val="center"/>
          </w:tcPr>
          <w:p w:rsidR="00B30D98" w:rsidRDefault="00B30D98">
            <w:pPr>
              <w:rPr>
                <w:rFonts w:hint="eastAsia"/>
              </w:rPr>
            </w:pPr>
          </w:p>
        </w:tc>
      </w:tr>
    </w:tbl>
    <w:p w:rsidR="00B30D98" w:rsidRDefault="00B30D98">
      <w:pPr>
        <w:rPr>
          <w:rFonts w:hint="eastAsia"/>
        </w:rPr>
      </w:pPr>
    </w:p>
    <w:p w:rsidR="00B30D98" w:rsidRDefault="00B30D98">
      <w:pPr>
        <w:rPr>
          <w:rFonts w:hint="eastAsia"/>
        </w:rPr>
      </w:pPr>
    </w:p>
    <w:p w:rsidR="00B30D98" w:rsidRDefault="00D75835">
      <w:pPr>
        <w:pStyle w:val="Heading1"/>
      </w:pPr>
      <w:r>
        <w:t>19. Complete Governed GCP Service and Resource Catalogue</w:t>
      </w:r>
    </w:p>
    <w:p w:rsidR="00B30D98" w:rsidRDefault="00D75835">
      <w:pPr>
        <w:rPr>
          <w:rFonts w:hint="eastAsia"/>
        </w:rPr>
      </w:pPr>
      <w:r>
        <w:t xml:space="preserve">The production governance design covers the following GCP resource families for </w:t>
      </w:r>
      <w:r>
        <w:t>metadata evaluation and remediation. The same central registry, classification, compliance and adapter model is used by both Brownfield and Greenfield processing. Brownfield resources are discovered through Cloud Asset Inventory. Greenfield resources enter</w:t>
      </w:r>
      <w:r>
        <w:t xml:space="preserve"> through verified Admin Activity creation events. Automatic Greenfield enforcement is enabled only where the corresponding creation event and resource metadata update path have been validated; the IAM permission below represents the mutation capability req</w:t>
      </w:r>
      <w:r>
        <w:t>uired by the platform.</w:t>
      </w:r>
    </w:p>
    <w:tbl>
      <w:tblPr>
        <w:tblStyle w:val="TableGrid"/>
        <w:tblW w:w="0" w:type="auto"/>
        <w:jc w:val="center"/>
        <w:tblLook w:val="04A0" w:firstRow="1" w:lastRow="0" w:firstColumn="1" w:lastColumn="0" w:noHBand="0" w:noVBand="1"/>
      </w:tblPr>
      <w:tblGrid>
        <w:gridCol w:w="1926"/>
        <w:gridCol w:w="1920"/>
        <w:gridCol w:w="2728"/>
        <w:gridCol w:w="1938"/>
        <w:gridCol w:w="1928"/>
      </w:tblGrid>
      <w:tr w:rsidR="00B30D98">
        <w:trPr>
          <w:jc w:val="center"/>
        </w:trPr>
        <w:tc>
          <w:tcPr>
            <w:tcW w:w="2045" w:type="dxa"/>
            <w:shd w:val="clear" w:color="auto" w:fill="1F4E79"/>
          </w:tcPr>
          <w:p w:rsidR="00B30D98" w:rsidRDefault="00D75835">
            <w:pPr>
              <w:rPr>
                <w:rFonts w:hint="eastAsia"/>
              </w:rPr>
            </w:pPr>
            <w:r>
              <w:rPr>
                <w:b/>
                <w:color w:val="FFFFFF"/>
                <w:sz w:val="15"/>
              </w:rPr>
              <w:t>GCP Service</w:t>
            </w:r>
          </w:p>
        </w:tc>
        <w:tc>
          <w:tcPr>
            <w:tcW w:w="2045" w:type="dxa"/>
            <w:shd w:val="clear" w:color="auto" w:fill="1F4E79"/>
          </w:tcPr>
          <w:p w:rsidR="00B30D98" w:rsidRDefault="00D75835">
            <w:pPr>
              <w:rPr>
                <w:rFonts w:hint="eastAsia"/>
              </w:rPr>
            </w:pPr>
            <w:r>
              <w:rPr>
                <w:b/>
                <w:color w:val="FFFFFF"/>
                <w:sz w:val="15"/>
              </w:rPr>
              <w:t>Governed Resource</w:t>
            </w:r>
          </w:p>
        </w:tc>
        <w:tc>
          <w:tcPr>
            <w:tcW w:w="2045" w:type="dxa"/>
            <w:shd w:val="clear" w:color="auto" w:fill="1F4E79"/>
          </w:tcPr>
          <w:p w:rsidR="00B30D98" w:rsidRDefault="00D75835">
            <w:pPr>
              <w:rPr>
                <w:rFonts w:hint="eastAsia"/>
              </w:rPr>
            </w:pPr>
            <w:r>
              <w:rPr>
                <w:b/>
                <w:color w:val="FFFFFF"/>
                <w:sz w:val="15"/>
              </w:rPr>
              <w:t>Required Mutation Permission</w:t>
            </w:r>
          </w:p>
        </w:tc>
        <w:tc>
          <w:tcPr>
            <w:tcW w:w="2045" w:type="dxa"/>
            <w:shd w:val="clear" w:color="auto" w:fill="1F4E79"/>
          </w:tcPr>
          <w:p w:rsidR="00B30D98" w:rsidRDefault="00D75835">
            <w:pPr>
              <w:rPr>
                <w:rFonts w:hint="eastAsia"/>
              </w:rPr>
            </w:pPr>
            <w:r>
              <w:rPr>
                <w:b/>
                <w:color w:val="FFFFFF"/>
                <w:sz w:val="15"/>
              </w:rPr>
              <w:t>Metadata Mechanism</w:t>
            </w:r>
          </w:p>
        </w:tc>
        <w:tc>
          <w:tcPr>
            <w:tcW w:w="2045" w:type="dxa"/>
            <w:shd w:val="clear" w:color="auto" w:fill="1F4E79"/>
          </w:tcPr>
          <w:p w:rsidR="00B30D98" w:rsidRDefault="00D75835">
            <w:pPr>
              <w:rPr>
                <w:rFonts w:hint="eastAsia"/>
              </w:rPr>
            </w:pPr>
            <w:r>
              <w:rPr>
                <w:b/>
                <w:color w:val="FFFFFF"/>
                <w:sz w:val="15"/>
              </w:rPr>
              <w:t>Governance Path</w:t>
            </w:r>
          </w:p>
        </w:tc>
      </w:tr>
      <w:tr w:rsidR="00B30D98">
        <w:trPr>
          <w:jc w:val="center"/>
        </w:trPr>
        <w:tc>
          <w:tcPr>
            <w:tcW w:w="2045" w:type="dxa"/>
            <w:vAlign w:val="center"/>
          </w:tcPr>
          <w:p w:rsidR="00B30D98" w:rsidRDefault="00D75835">
            <w:pPr>
              <w:rPr>
                <w:rFonts w:hint="eastAsia"/>
              </w:rPr>
            </w:pPr>
            <w:r>
              <w:rPr>
                <w:sz w:val="14"/>
              </w:rPr>
              <w:t>Google Cloud Resource Manager</w:t>
            </w:r>
          </w:p>
        </w:tc>
        <w:tc>
          <w:tcPr>
            <w:tcW w:w="2045" w:type="dxa"/>
            <w:vAlign w:val="center"/>
          </w:tcPr>
          <w:p w:rsidR="00B30D98" w:rsidRDefault="00D75835">
            <w:pPr>
              <w:rPr>
                <w:rFonts w:hint="eastAsia"/>
              </w:rPr>
            </w:pPr>
            <w:r>
              <w:rPr>
                <w:sz w:val="14"/>
              </w:rPr>
              <w:t>Project</w:t>
            </w:r>
          </w:p>
        </w:tc>
        <w:tc>
          <w:tcPr>
            <w:tcW w:w="2045" w:type="dxa"/>
            <w:vAlign w:val="center"/>
          </w:tcPr>
          <w:p w:rsidR="00B30D98" w:rsidRDefault="00D75835">
            <w:pPr>
              <w:rPr>
                <w:rFonts w:hint="eastAsia"/>
              </w:rPr>
            </w:pPr>
            <w:r>
              <w:rPr>
                <w:sz w:val="14"/>
              </w:rPr>
              <w:t>resourcemanager.projects.get / resourcemanager.projects.update</w:t>
            </w:r>
          </w:p>
        </w:tc>
        <w:tc>
          <w:tcPr>
            <w:tcW w:w="2045" w:type="dxa"/>
            <w:vAlign w:val="center"/>
          </w:tcPr>
          <w:p w:rsidR="00B30D98" w:rsidRDefault="00D75835">
            <w:pPr>
              <w:rPr>
                <w:rFonts w:hint="eastAsia"/>
              </w:rPr>
            </w:pPr>
            <w:r>
              <w:rPr>
                <w:sz w:val="14"/>
              </w:rPr>
              <w:t>Project metadata/labels</w:t>
            </w:r>
          </w:p>
        </w:tc>
        <w:tc>
          <w:tcPr>
            <w:tcW w:w="2045" w:type="dxa"/>
            <w:vAlign w:val="center"/>
          </w:tcPr>
          <w:p w:rsidR="00B30D98" w:rsidRDefault="00D75835">
            <w:pPr>
              <w:rPr>
                <w:rFonts w:hint="eastAsia"/>
              </w:rPr>
            </w:pPr>
            <w:r>
              <w:rPr>
                <w:sz w:val="14"/>
              </w:rPr>
              <w:t xml:space="preserve">Brownfield + </w:t>
            </w:r>
            <w:r>
              <w:rPr>
                <w:sz w:val="14"/>
              </w:rPr>
              <w:t>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VM Instance</w:t>
            </w:r>
          </w:p>
        </w:tc>
        <w:tc>
          <w:tcPr>
            <w:tcW w:w="2045" w:type="dxa"/>
            <w:vAlign w:val="center"/>
          </w:tcPr>
          <w:p w:rsidR="00B30D98" w:rsidRDefault="00D75835">
            <w:pPr>
              <w:rPr>
                <w:rFonts w:hint="eastAsia"/>
              </w:rPr>
            </w:pPr>
            <w:r>
              <w:rPr>
                <w:sz w:val="14"/>
              </w:rPr>
              <w:t>compute.instances.setLabels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Persistent Disk</w:t>
            </w:r>
          </w:p>
        </w:tc>
        <w:tc>
          <w:tcPr>
            <w:tcW w:w="2045" w:type="dxa"/>
            <w:vAlign w:val="center"/>
          </w:tcPr>
          <w:p w:rsidR="00B30D98" w:rsidRDefault="00D75835">
            <w:pPr>
              <w:rPr>
                <w:rFonts w:hint="eastAsia"/>
              </w:rPr>
            </w:pPr>
            <w:r>
              <w:rPr>
                <w:sz w:val="14"/>
              </w:rPr>
              <w:t>compute.disks.setLabels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Snapshot</w:t>
            </w:r>
          </w:p>
        </w:tc>
        <w:tc>
          <w:tcPr>
            <w:tcW w:w="2045" w:type="dxa"/>
            <w:vAlign w:val="center"/>
          </w:tcPr>
          <w:p w:rsidR="00B30D98" w:rsidRDefault="00D75835">
            <w:pPr>
              <w:rPr>
                <w:rFonts w:hint="eastAsia"/>
              </w:rPr>
            </w:pPr>
            <w:r>
              <w:rPr>
                <w:sz w:val="14"/>
              </w:rPr>
              <w:t>compute.snapshots.setLabels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w:t>
            </w:r>
            <w:r>
              <w:rPr>
                <w:sz w:val="14"/>
              </w:rPr>
              <w:t xml:space="preserve"> + 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Image</w:t>
            </w:r>
          </w:p>
        </w:tc>
        <w:tc>
          <w:tcPr>
            <w:tcW w:w="2045" w:type="dxa"/>
            <w:vAlign w:val="center"/>
          </w:tcPr>
          <w:p w:rsidR="00B30D98" w:rsidRDefault="00D75835">
            <w:pPr>
              <w:rPr>
                <w:rFonts w:hint="eastAsia"/>
              </w:rPr>
            </w:pPr>
            <w:r>
              <w:rPr>
                <w:sz w:val="14"/>
              </w:rPr>
              <w:t>compute.images.setLabels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Forwarding Rule</w:t>
            </w:r>
          </w:p>
        </w:tc>
        <w:tc>
          <w:tcPr>
            <w:tcW w:w="2045" w:type="dxa"/>
            <w:vAlign w:val="center"/>
          </w:tcPr>
          <w:p w:rsidR="00B30D98" w:rsidRDefault="00D75835">
            <w:pPr>
              <w:rPr>
                <w:rFonts w:hint="eastAsia"/>
              </w:rPr>
            </w:pPr>
            <w:r>
              <w:rPr>
                <w:sz w:val="14"/>
              </w:rPr>
              <w:t>compute.forwardingRules.setLabels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Compute Engine</w:t>
            </w:r>
          </w:p>
        </w:tc>
        <w:tc>
          <w:tcPr>
            <w:tcW w:w="2045" w:type="dxa"/>
            <w:vAlign w:val="center"/>
          </w:tcPr>
          <w:p w:rsidR="00B30D98" w:rsidRDefault="00D75835">
            <w:pPr>
              <w:rPr>
                <w:rFonts w:hint="eastAsia"/>
              </w:rPr>
            </w:pPr>
            <w:r>
              <w:rPr>
                <w:sz w:val="14"/>
              </w:rPr>
              <w:t>Static IP Address</w:t>
            </w:r>
          </w:p>
        </w:tc>
        <w:tc>
          <w:tcPr>
            <w:tcW w:w="2045" w:type="dxa"/>
            <w:vAlign w:val="center"/>
          </w:tcPr>
          <w:p w:rsidR="00B30D98" w:rsidRDefault="00D75835">
            <w:pPr>
              <w:rPr>
                <w:rFonts w:hint="eastAsia"/>
              </w:rPr>
            </w:pPr>
            <w:r>
              <w:rPr>
                <w:sz w:val="14"/>
              </w:rPr>
              <w:t>compute.addresses.setLabels</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Cloud Storage</w:t>
            </w:r>
          </w:p>
        </w:tc>
        <w:tc>
          <w:tcPr>
            <w:tcW w:w="2045" w:type="dxa"/>
            <w:vAlign w:val="center"/>
          </w:tcPr>
          <w:p w:rsidR="00B30D98" w:rsidRDefault="00D75835">
            <w:pPr>
              <w:rPr>
                <w:rFonts w:hint="eastAsia"/>
              </w:rPr>
            </w:pPr>
            <w:r>
              <w:rPr>
                <w:sz w:val="14"/>
              </w:rPr>
              <w:t>Bucket</w:t>
            </w:r>
          </w:p>
        </w:tc>
        <w:tc>
          <w:tcPr>
            <w:tcW w:w="2045" w:type="dxa"/>
            <w:vAlign w:val="center"/>
          </w:tcPr>
          <w:p w:rsidR="00B30D98" w:rsidRDefault="00D75835">
            <w:pPr>
              <w:rPr>
                <w:rFonts w:hint="eastAsia"/>
              </w:rPr>
            </w:pPr>
            <w:r>
              <w:rPr>
                <w:sz w:val="14"/>
              </w:rPr>
              <w:t>storage.buckets.update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BigQuery</w:t>
            </w:r>
          </w:p>
        </w:tc>
        <w:tc>
          <w:tcPr>
            <w:tcW w:w="2045" w:type="dxa"/>
            <w:vAlign w:val="center"/>
          </w:tcPr>
          <w:p w:rsidR="00B30D98" w:rsidRDefault="00D75835">
            <w:pPr>
              <w:rPr>
                <w:rFonts w:hint="eastAsia"/>
              </w:rPr>
            </w:pPr>
            <w:r>
              <w:rPr>
                <w:sz w:val="14"/>
              </w:rPr>
              <w:t>Dataset</w:t>
            </w:r>
          </w:p>
        </w:tc>
        <w:tc>
          <w:tcPr>
            <w:tcW w:w="2045" w:type="dxa"/>
            <w:vAlign w:val="center"/>
          </w:tcPr>
          <w:p w:rsidR="00B30D98" w:rsidRDefault="00D75835">
            <w:pPr>
              <w:rPr>
                <w:rFonts w:hint="eastAsia"/>
              </w:rPr>
            </w:pPr>
            <w:r>
              <w:rPr>
                <w:sz w:val="14"/>
              </w:rPr>
              <w:t>bigquery.datasets.update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BigQuery</w:t>
            </w:r>
          </w:p>
        </w:tc>
        <w:tc>
          <w:tcPr>
            <w:tcW w:w="2045" w:type="dxa"/>
            <w:vAlign w:val="center"/>
          </w:tcPr>
          <w:p w:rsidR="00B30D98" w:rsidRDefault="00D75835">
            <w:pPr>
              <w:rPr>
                <w:rFonts w:hint="eastAsia"/>
              </w:rPr>
            </w:pPr>
            <w:r>
              <w:rPr>
                <w:sz w:val="14"/>
              </w:rPr>
              <w:t>Table</w:t>
            </w:r>
          </w:p>
        </w:tc>
        <w:tc>
          <w:tcPr>
            <w:tcW w:w="2045" w:type="dxa"/>
            <w:vAlign w:val="center"/>
          </w:tcPr>
          <w:p w:rsidR="00B30D98" w:rsidRDefault="00D75835">
            <w:pPr>
              <w:rPr>
                <w:rFonts w:hint="eastAsia"/>
              </w:rPr>
            </w:pPr>
            <w:r>
              <w:rPr>
                <w:sz w:val="14"/>
              </w:rPr>
              <w:t>bigquery.tables.update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Cloud SQL</w:t>
            </w:r>
          </w:p>
        </w:tc>
        <w:tc>
          <w:tcPr>
            <w:tcW w:w="2045" w:type="dxa"/>
            <w:vAlign w:val="center"/>
          </w:tcPr>
          <w:p w:rsidR="00B30D98" w:rsidRDefault="00D75835">
            <w:pPr>
              <w:rPr>
                <w:rFonts w:hint="eastAsia"/>
              </w:rPr>
            </w:pPr>
            <w:r>
              <w:rPr>
                <w:sz w:val="14"/>
              </w:rPr>
              <w:t>Instance</w:t>
            </w:r>
          </w:p>
        </w:tc>
        <w:tc>
          <w:tcPr>
            <w:tcW w:w="2045" w:type="dxa"/>
            <w:vAlign w:val="center"/>
          </w:tcPr>
          <w:p w:rsidR="00B30D98" w:rsidRDefault="00D75835">
            <w:pPr>
              <w:rPr>
                <w:rFonts w:hint="eastAsia"/>
              </w:rPr>
            </w:pPr>
            <w:r>
              <w:rPr>
                <w:sz w:val="14"/>
              </w:rPr>
              <w:t>cloudsql.instances.update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Google Kubernetes Engine</w:t>
            </w:r>
          </w:p>
        </w:tc>
        <w:tc>
          <w:tcPr>
            <w:tcW w:w="2045" w:type="dxa"/>
            <w:vAlign w:val="center"/>
          </w:tcPr>
          <w:p w:rsidR="00B30D98" w:rsidRDefault="00D75835">
            <w:pPr>
              <w:rPr>
                <w:rFonts w:hint="eastAsia"/>
              </w:rPr>
            </w:pPr>
            <w:r>
              <w:rPr>
                <w:sz w:val="14"/>
              </w:rPr>
              <w:t>Cluster</w:t>
            </w:r>
          </w:p>
        </w:tc>
        <w:tc>
          <w:tcPr>
            <w:tcW w:w="2045" w:type="dxa"/>
            <w:vAlign w:val="center"/>
          </w:tcPr>
          <w:p w:rsidR="00B30D98" w:rsidRDefault="00D75835">
            <w:pPr>
              <w:rPr>
                <w:rFonts w:hint="eastAsia"/>
              </w:rPr>
            </w:pPr>
            <w:r>
              <w:rPr>
                <w:sz w:val="14"/>
              </w:rPr>
              <w:t>container.clusters.update</w:t>
            </w:r>
          </w:p>
        </w:tc>
        <w:tc>
          <w:tcPr>
            <w:tcW w:w="2045" w:type="dxa"/>
            <w:vAlign w:val="center"/>
          </w:tcPr>
          <w:p w:rsidR="00B30D98" w:rsidRDefault="00D75835">
            <w:pPr>
              <w:rPr>
                <w:rFonts w:hint="eastAsia"/>
              </w:rPr>
            </w:pPr>
            <w:r>
              <w:rPr>
                <w:sz w:val="14"/>
              </w:rPr>
              <w:t>Resource 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Memorystore for Redis</w:t>
            </w:r>
          </w:p>
        </w:tc>
        <w:tc>
          <w:tcPr>
            <w:tcW w:w="2045" w:type="dxa"/>
            <w:vAlign w:val="center"/>
          </w:tcPr>
          <w:p w:rsidR="00B30D98" w:rsidRDefault="00D75835">
            <w:pPr>
              <w:rPr>
                <w:rFonts w:hint="eastAsia"/>
              </w:rPr>
            </w:pPr>
            <w:r>
              <w:rPr>
                <w:sz w:val="14"/>
              </w:rPr>
              <w:t>Instance</w:t>
            </w:r>
          </w:p>
        </w:tc>
        <w:tc>
          <w:tcPr>
            <w:tcW w:w="2045" w:type="dxa"/>
            <w:vAlign w:val="center"/>
          </w:tcPr>
          <w:p w:rsidR="00B30D98" w:rsidRDefault="00D75835">
            <w:pPr>
              <w:rPr>
                <w:rFonts w:hint="eastAsia"/>
              </w:rPr>
            </w:pPr>
            <w:r>
              <w:rPr>
                <w:sz w:val="14"/>
              </w:rPr>
              <w:t>redis.instances.update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w:t>
            </w:r>
            <w:r>
              <w:rPr>
                <w:sz w:val="14"/>
              </w:rPr>
              <w:t>field</w:t>
            </w:r>
          </w:p>
        </w:tc>
      </w:tr>
      <w:tr w:rsidR="00B30D98">
        <w:trPr>
          <w:jc w:val="center"/>
        </w:trPr>
        <w:tc>
          <w:tcPr>
            <w:tcW w:w="2045" w:type="dxa"/>
            <w:vAlign w:val="center"/>
          </w:tcPr>
          <w:p w:rsidR="00B30D98" w:rsidRDefault="00D75835">
            <w:pPr>
              <w:rPr>
                <w:rFonts w:hint="eastAsia"/>
              </w:rPr>
            </w:pPr>
            <w:r>
              <w:rPr>
                <w:sz w:val="14"/>
              </w:rPr>
              <w:t>Cloud KMS</w:t>
            </w:r>
          </w:p>
        </w:tc>
        <w:tc>
          <w:tcPr>
            <w:tcW w:w="2045" w:type="dxa"/>
            <w:vAlign w:val="center"/>
          </w:tcPr>
          <w:p w:rsidR="00B30D98" w:rsidRDefault="00D75835">
            <w:pPr>
              <w:rPr>
                <w:rFonts w:hint="eastAsia"/>
              </w:rPr>
            </w:pPr>
            <w:r>
              <w:rPr>
                <w:sz w:val="14"/>
              </w:rPr>
              <w:t>CryptoKey</w:t>
            </w:r>
          </w:p>
        </w:tc>
        <w:tc>
          <w:tcPr>
            <w:tcW w:w="2045" w:type="dxa"/>
            <w:vAlign w:val="center"/>
          </w:tcPr>
          <w:p w:rsidR="00B30D98" w:rsidRDefault="00D75835">
            <w:pPr>
              <w:rPr>
                <w:rFonts w:hint="eastAsia"/>
              </w:rPr>
            </w:pPr>
            <w:r>
              <w:rPr>
                <w:sz w:val="14"/>
              </w:rPr>
              <w:t>cloudkms.cryptoKeys.update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Secret Manager</w:t>
            </w:r>
          </w:p>
        </w:tc>
        <w:tc>
          <w:tcPr>
            <w:tcW w:w="2045" w:type="dxa"/>
            <w:vAlign w:val="center"/>
          </w:tcPr>
          <w:p w:rsidR="00B30D98" w:rsidRDefault="00D75835">
            <w:pPr>
              <w:rPr>
                <w:rFonts w:hint="eastAsia"/>
              </w:rPr>
            </w:pPr>
            <w:r>
              <w:rPr>
                <w:sz w:val="14"/>
              </w:rPr>
              <w:t>Secret</w:t>
            </w:r>
          </w:p>
        </w:tc>
        <w:tc>
          <w:tcPr>
            <w:tcW w:w="2045" w:type="dxa"/>
            <w:vAlign w:val="center"/>
          </w:tcPr>
          <w:p w:rsidR="00B30D98" w:rsidRDefault="00D75835">
            <w:pPr>
              <w:rPr>
                <w:rFonts w:hint="eastAsia"/>
              </w:rPr>
            </w:pPr>
            <w:r>
              <w:rPr>
                <w:sz w:val="14"/>
              </w:rPr>
              <w:t>secretmanager.secrets.update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Pub/Sub</w:t>
            </w:r>
          </w:p>
        </w:tc>
        <w:tc>
          <w:tcPr>
            <w:tcW w:w="2045" w:type="dxa"/>
            <w:vAlign w:val="center"/>
          </w:tcPr>
          <w:p w:rsidR="00B30D98" w:rsidRDefault="00D75835">
            <w:pPr>
              <w:rPr>
                <w:rFonts w:hint="eastAsia"/>
              </w:rPr>
            </w:pPr>
            <w:r>
              <w:rPr>
                <w:sz w:val="14"/>
              </w:rPr>
              <w:t>Topic</w:t>
            </w:r>
          </w:p>
        </w:tc>
        <w:tc>
          <w:tcPr>
            <w:tcW w:w="2045" w:type="dxa"/>
            <w:vAlign w:val="center"/>
          </w:tcPr>
          <w:p w:rsidR="00B30D98" w:rsidRDefault="00D75835">
            <w:pPr>
              <w:rPr>
                <w:rFonts w:hint="eastAsia"/>
              </w:rPr>
            </w:pPr>
            <w:r>
              <w:rPr>
                <w:sz w:val="14"/>
              </w:rPr>
              <w:t>pubsub.topics.update</w:t>
            </w:r>
          </w:p>
        </w:tc>
        <w:tc>
          <w:tcPr>
            <w:tcW w:w="2045" w:type="dxa"/>
            <w:vAlign w:val="center"/>
          </w:tcPr>
          <w:p w:rsidR="00B30D98" w:rsidRDefault="00D75835">
            <w:pPr>
              <w:rPr>
                <w:rFonts w:hint="eastAsia"/>
              </w:rPr>
            </w:pPr>
            <w:r>
              <w:rPr>
                <w:sz w:val="14"/>
              </w:rPr>
              <w:t>Labels / supported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Pub/Sub</w:t>
            </w:r>
          </w:p>
        </w:tc>
        <w:tc>
          <w:tcPr>
            <w:tcW w:w="2045" w:type="dxa"/>
            <w:vAlign w:val="center"/>
          </w:tcPr>
          <w:p w:rsidR="00B30D98" w:rsidRDefault="00D75835">
            <w:pPr>
              <w:rPr>
                <w:rFonts w:hint="eastAsia"/>
              </w:rPr>
            </w:pPr>
            <w:r>
              <w:rPr>
                <w:sz w:val="14"/>
              </w:rPr>
              <w:t>Subscription</w:t>
            </w:r>
          </w:p>
        </w:tc>
        <w:tc>
          <w:tcPr>
            <w:tcW w:w="2045" w:type="dxa"/>
            <w:vAlign w:val="center"/>
          </w:tcPr>
          <w:p w:rsidR="00B30D98" w:rsidRDefault="00D75835">
            <w:pPr>
              <w:rPr>
                <w:rFonts w:hint="eastAsia"/>
              </w:rPr>
            </w:pPr>
            <w:r>
              <w:rPr>
                <w:sz w:val="14"/>
              </w:rPr>
              <w:t>pubsub.subscriptions.update</w:t>
            </w:r>
          </w:p>
        </w:tc>
        <w:tc>
          <w:tcPr>
            <w:tcW w:w="2045" w:type="dxa"/>
            <w:vAlign w:val="center"/>
          </w:tcPr>
          <w:p w:rsidR="00B30D98" w:rsidRDefault="00D75835">
            <w:pPr>
              <w:rPr>
                <w:rFonts w:hint="eastAsia"/>
              </w:rPr>
            </w:pPr>
            <w:r>
              <w:rPr>
                <w:sz w:val="14"/>
              </w:rPr>
              <w:t>Labels / supported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Artifact Registry</w:t>
            </w:r>
          </w:p>
        </w:tc>
        <w:tc>
          <w:tcPr>
            <w:tcW w:w="2045" w:type="dxa"/>
            <w:vAlign w:val="center"/>
          </w:tcPr>
          <w:p w:rsidR="00B30D98" w:rsidRDefault="00D75835">
            <w:pPr>
              <w:rPr>
                <w:rFonts w:hint="eastAsia"/>
              </w:rPr>
            </w:pPr>
            <w:r>
              <w:rPr>
                <w:sz w:val="14"/>
              </w:rPr>
              <w:t>Repository</w:t>
            </w:r>
          </w:p>
        </w:tc>
        <w:tc>
          <w:tcPr>
            <w:tcW w:w="2045" w:type="dxa"/>
            <w:vAlign w:val="center"/>
          </w:tcPr>
          <w:p w:rsidR="00B30D98" w:rsidRDefault="00D75835">
            <w:pPr>
              <w:rPr>
                <w:rFonts w:hint="eastAsia"/>
              </w:rPr>
            </w:pPr>
            <w:r>
              <w:rPr>
                <w:sz w:val="14"/>
              </w:rPr>
              <w:t>artifactregistry.repositories.update</w:t>
            </w:r>
          </w:p>
        </w:tc>
        <w:tc>
          <w:tcPr>
            <w:tcW w:w="2045" w:type="dxa"/>
            <w:vAlign w:val="center"/>
          </w:tcPr>
          <w:p w:rsidR="00B30D98" w:rsidRDefault="00D75835">
            <w:pPr>
              <w:rPr>
                <w:rFonts w:hint="eastAsia"/>
              </w:rPr>
            </w:pPr>
            <w:r>
              <w:rPr>
                <w:sz w:val="14"/>
              </w:rPr>
              <w:t>Labels</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Cloud Run</w:t>
            </w:r>
          </w:p>
        </w:tc>
        <w:tc>
          <w:tcPr>
            <w:tcW w:w="2045" w:type="dxa"/>
            <w:vAlign w:val="center"/>
          </w:tcPr>
          <w:p w:rsidR="00B30D98" w:rsidRDefault="00D75835">
            <w:pPr>
              <w:rPr>
                <w:rFonts w:hint="eastAsia"/>
              </w:rPr>
            </w:pPr>
            <w:r>
              <w:rPr>
                <w:sz w:val="14"/>
              </w:rPr>
              <w:t>Service</w:t>
            </w:r>
          </w:p>
        </w:tc>
        <w:tc>
          <w:tcPr>
            <w:tcW w:w="2045" w:type="dxa"/>
            <w:vAlign w:val="center"/>
          </w:tcPr>
          <w:p w:rsidR="00B30D98" w:rsidRDefault="00D75835">
            <w:pPr>
              <w:rPr>
                <w:rFonts w:hint="eastAsia"/>
              </w:rPr>
            </w:pPr>
            <w:r>
              <w:rPr>
                <w:sz w:val="14"/>
              </w:rPr>
              <w:t>run.services.update</w:t>
            </w:r>
          </w:p>
        </w:tc>
        <w:tc>
          <w:tcPr>
            <w:tcW w:w="2045" w:type="dxa"/>
            <w:vAlign w:val="center"/>
          </w:tcPr>
          <w:p w:rsidR="00B30D98" w:rsidRDefault="00D75835">
            <w:pPr>
              <w:rPr>
                <w:rFonts w:hint="eastAsia"/>
              </w:rPr>
            </w:pPr>
            <w:r>
              <w:rPr>
                <w:sz w:val="14"/>
              </w:rPr>
              <w:t xml:space="preserve">Labels / service </w:t>
            </w:r>
            <w:r>
              <w:rPr>
                <w:sz w:val="14"/>
              </w:rPr>
              <w:t>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App Engine</w:t>
            </w:r>
          </w:p>
        </w:tc>
        <w:tc>
          <w:tcPr>
            <w:tcW w:w="2045" w:type="dxa"/>
            <w:vAlign w:val="center"/>
          </w:tcPr>
          <w:p w:rsidR="00B30D98" w:rsidRDefault="00D75835">
            <w:pPr>
              <w:rPr>
                <w:rFonts w:hint="eastAsia"/>
              </w:rPr>
            </w:pPr>
            <w:r>
              <w:rPr>
                <w:sz w:val="14"/>
              </w:rPr>
              <w:t>Application</w:t>
            </w:r>
          </w:p>
        </w:tc>
        <w:tc>
          <w:tcPr>
            <w:tcW w:w="2045" w:type="dxa"/>
            <w:vAlign w:val="center"/>
          </w:tcPr>
          <w:p w:rsidR="00B30D98" w:rsidRDefault="00D75835">
            <w:pPr>
              <w:rPr>
                <w:rFonts w:hint="eastAsia"/>
              </w:rPr>
            </w:pPr>
            <w:r>
              <w:rPr>
                <w:sz w:val="14"/>
              </w:rPr>
              <w:t>appengine.applications.update</w:t>
            </w:r>
          </w:p>
        </w:tc>
        <w:tc>
          <w:tcPr>
            <w:tcW w:w="2045" w:type="dxa"/>
            <w:vAlign w:val="center"/>
          </w:tcPr>
          <w:p w:rsidR="00B30D98" w:rsidRDefault="00D75835">
            <w:pPr>
              <w:rPr>
                <w:rFonts w:hint="eastAsia"/>
              </w:rPr>
            </w:pPr>
            <w:r>
              <w:rPr>
                <w:sz w:val="14"/>
              </w:rPr>
              <w:t>Application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App Engine</w:t>
            </w:r>
          </w:p>
        </w:tc>
        <w:tc>
          <w:tcPr>
            <w:tcW w:w="2045" w:type="dxa"/>
            <w:vAlign w:val="center"/>
          </w:tcPr>
          <w:p w:rsidR="00B30D98" w:rsidRDefault="00D75835">
            <w:pPr>
              <w:rPr>
                <w:rFonts w:hint="eastAsia"/>
              </w:rPr>
            </w:pPr>
            <w:r>
              <w:rPr>
                <w:sz w:val="14"/>
              </w:rPr>
              <w:t>Service</w:t>
            </w:r>
          </w:p>
        </w:tc>
        <w:tc>
          <w:tcPr>
            <w:tcW w:w="2045" w:type="dxa"/>
            <w:vAlign w:val="center"/>
          </w:tcPr>
          <w:p w:rsidR="00B30D98" w:rsidRDefault="00D75835">
            <w:pPr>
              <w:rPr>
                <w:rFonts w:hint="eastAsia"/>
              </w:rPr>
            </w:pPr>
            <w:r>
              <w:rPr>
                <w:sz w:val="14"/>
              </w:rPr>
              <w:t>appengine.services.update</w:t>
            </w:r>
          </w:p>
        </w:tc>
        <w:tc>
          <w:tcPr>
            <w:tcW w:w="2045" w:type="dxa"/>
            <w:vAlign w:val="center"/>
          </w:tcPr>
          <w:p w:rsidR="00B30D98" w:rsidRDefault="00D75835">
            <w:pPr>
              <w:rPr>
                <w:rFonts w:hint="eastAsia"/>
              </w:rPr>
            </w:pPr>
            <w:r>
              <w:rPr>
                <w:sz w:val="14"/>
              </w:rPr>
              <w:t>Service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App Engine</w:t>
            </w:r>
          </w:p>
        </w:tc>
        <w:tc>
          <w:tcPr>
            <w:tcW w:w="2045" w:type="dxa"/>
            <w:vAlign w:val="center"/>
          </w:tcPr>
          <w:p w:rsidR="00B30D98" w:rsidRDefault="00D75835">
            <w:pPr>
              <w:rPr>
                <w:rFonts w:hint="eastAsia"/>
              </w:rPr>
            </w:pPr>
            <w:r>
              <w:rPr>
                <w:sz w:val="14"/>
              </w:rPr>
              <w:t>Version</w:t>
            </w:r>
          </w:p>
        </w:tc>
        <w:tc>
          <w:tcPr>
            <w:tcW w:w="2045" w:type="dxa"/>
            <w:vAlign w:val="center"/>
          </w:tcPr>
          <w:p w:rsidR="00B30D98" w:rsidRDefault="00D75835">
            <w:pPr>
              <w:rPr>
                <w:rFonts w:hint="eastAsia"/>
              </w:rPr>
            </w:pPr>
            <w:r>
              <w:rPr>
                <w:sz w:val="14"/>
              </w:rPr>
              <w:t>appengine.versi</w:t>
            </w:r>
            <w:r>
              <w:rPr>
                <w:sz w:val="14"/>
              </w:rPr>
              <w:t>ons.update</w:t>
            </w:r>
          </w:p>
        </w:tc>
        <w:tc>
          <w:tcPr>
            <w:tcW w:w="2045" w:type="dxa"/>
            <w:vAlign w:val="center"/>
          </w:tcPr>
          <w:p w:rsidR="00B30D98" w:rsidRDefault="00D75835">
            <w:pPr>
              <w:rPr>
                <w:rFonts w:hint="eastAsia"/>
              </w:rPr>
            </w:pPr>
            <w:r>
              <w:rPr>
                <w:sz w:val="14"/>
              </w:rPr>
              <w:t>Version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Cloud Build</w:t>
            </w:r>
          </w:p>
        </w:tc>
        <w:tc>
          <w:tcPr>
            <w:tcW w:w="2045" w:type="dxa"/>
            <w:vAlign w:val="center"/>
          </w:tcPr>
          <w:p w:rsidR="00B30D98" w:rsidRDefault="00D75835">
            <w:pPr>
              <w:rPr>
                <w:rFonts w:hint="eastAsia"/>
              </w:rPr>
            </w:pPr>
            <w:r>
              <w:rPr>
                <w:sz w:val="14"/>
              </w:rPr>
              <w:t>Build</w:t>
            </w:r>
          </w:p>
        </w:tc>
        <w:tc>
          <w:tcPr>
            <w:tcW w:w="2045" w:type="dxa"/>
            <w:vAlign w:val="center"/>
          </w:tcPr>
          <w:p w:rsidR="00B30D98" w:rsidRDefault="00D75835">
            <w:pPr>
              <w:rPr>
                <w:rFonts w:hint="eastAsia"/>
              </w:rPr>
            </w:pPr>
            <w:r>
              <w:rPr>
                <w:sz w:val="14"/>
              </w:rPr>
              <w:t>cloudbuild.builds.update</w:t>
            </w:r>
          </w:p>
        </w:tc>
        <w:tc>
          <w:tcPr>
            <w:tcW w:w="2045" w:type="dxa"/>
            <w:vAlign w:val="center"/>
          </w:tcPr>
          <w:p w:rsidR="00B30D98" w:rsidRDefault="00D75835">
            <w:pPr>
              <w:rPr>
                <w:rFonts w:hint="eastAsia"/>
              </w:rPr>
            </w:pPr>
            <w:r>
              <w:rPr>
                <w:sz w:val="14"/>
              </w:rPr>
              <w:t>Supported mutable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Developer Connect</w:t>
            </w:r>
          </w:p>
        </w:tc>
        <w:tc>
          <w:tcPr>
            <w:tcW w:w="2045" w:type="dxa"/>
            <w:vAlign w:val="center"/>
          </w:tcPr>
          <w:p w:rsidR="00B30D98" w:rsidRDefault="00D75835">
            <w:pPr>
              <w:rPr>
                <w:rFonts w:hint="eastAsia"/>
              </w:rPr>
            </w:pPr>
            <w:r>
              <w:rPr>
                <w:sz w:val="14"/>
              </w:rPr>
              <w:t>Connection</w:t>
            </w:r>
          </w:p>
        </w:tc>
        <w:tc>
          <w:tcPr>
            <w:tcW w:w="2045" w:type="dxa"/>
            <w:vAlign w:val="center"/>
          </w:tcPr>
          <w:p w:rsidR="00B30D98" w:rsidRDefault="00D75835">
            <w:pPr>
              <w:rPr>
                <w:rFonts w:hint="eastAsia"/>
              </w:rPr>
            </w:pPr>
            <w:r>
              <w:rPr>
                <w:sz w:val="14"/>
              </w:rPr>
              <w:t>developerconnect.connections.update</w:t>
            </w:r>
          </w:p>
        </w:tc>
        <w:tc>
          <w:tcPr>
            <w:tcW w:w="2045" w:type="dxa"/>
            <w:vAlign w:val="center"/>
          </w:tcPr>
          <w:p w:rsidR="00B30D98" w:rsidRDefault="00D75835">
            <w:pPr>
              <w:rPr>
                <w:rFonts w:hint="eastAsia"/>
              </w:rPr>
            </w:pPr>
            <w:r>
              <w:rPr>
                <w:sz w:val="14"/>
              </w:rPr>
              <w:t>Labels / supported metadata</w:t>
            </w:r>
          </w:p>
        </w:tc>
        <w:tc>
          <w:tcPr>
            <w:tcW w:w="2045" w:type="dxa"/>
            <w:vAlign w:val="center"/>
          </w:tcPr>
          <w:p w:rsidR="00B30D98" w:rsidRDefault="00D75835">
            <w:pPr>
              <w:rPr>
                <w:rFonts w:hint="eastAsia"/>
              </w:rPr>
            </w:pPr>
            <w:r>
              <w:rPr>
                <w:sz w:val="14"/>
              </w:rPr>
              <w:t xml:space="preserve">Brownfield + </w:t>
            </w:r>
            <w:r>
              <w:rPr>
                <w:sz w:val="14"/>
              </w:rPr>
              <w:t>Greenfield</w:t>
            </w:r>
          </w:p>
        </w:tc>
      </w:tr>
      <w:tr w:rsidR="00B30D98">
        <w:trPr>
          <w:jc w:val="center"/>
        </w:trPr>
        <w:tc>
          <w:tcPr>
            <w:tcW w:w="2045" w:type="dxa"/>
            <w:vAlign w:val="center"/>
          </w:tcPr>
          <w:p w:rsidR="00B30D98" w:rsidRDefault="00D75835">
            <w:pPr>
              <w:rPr>
                <w:rFonts w:hint="eastAsia"/>
              </w:rPr>
            </w:pPr>
            <w:r>
              <w:rPr>
                <w:sz w:val="14"/>
              </w:rPr>
              <w:t>Developer Connect</w:t>
            </w:r>
          </w:p>
        </w:tc>
        <w:tc>
          <w:tcPr>
            <w:tcW w:w="2045" w:type="dxa"/>
            <w:vAlign w:val="center"/>
          </w:tcPr>
          <w:p w:rsidR="00B30D98" w:rsidRDefault="00D75835">
            <w:pPr>
              <w:rPr>
                <w:rFonts w:hint="eastAsia"/>
              </w:rPr>
            </w:pPr>
            <w:r>
              <w:rPr>
                <w:sz w:val="14"/>
              </w:rPr>
              <w:t>Git Repository Link</w:t>
            </w:r>
          </w:p>
        </w:tc>
        <w:tc>
          <w:tcPr>
            <w:tcW w:w="2045" w:type="dxa"/>
            <w:vAlign w:val="center"/>
          </w:tcPr>
          <w:p w:rsidR="00B30D98" w:rsidRDefault="00D75835">
            <w:pPr>
              <w:rPr>
                <w:rFonts w:hint="eastAsia"/>
              </w:rPr>
            </w:pPr>
            <w:r>
              <w:rPr>
                <w:sz w:val="14"/>
              </w:rPr>
              <w:t>developerconnect.gitRepositoryLinks.update</w:t>
            </w:r>
          </w:p>
        </w:tc>
        <w:tc>
          <w:tcPr>
            <w:tcW w:w="2045" w:type="dxa"/>
            <w:vAlign w:val="center"/>
          </w:tcPr>
          <w:p w:rsidR="00B30D98" w:rsidRDefault="00D75835">
            <w:pPr>
              <w:rPr>
                <w:rFonts w:hint="eastAsia"/>
              </w:rPr>
            </w:pPr>
            <w:r>
              <w:rPr>
                <w:sz w:val="14"/>
              </w:rPr>
              <w:t>Labels / supported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VM Manager / OS Config</w:t>
            </w:r>
          </w:p>
        </w:tc>
        <w:tc>
          <w:tcPr>
            <w:tcW w:w="2045" w:type="dxa"/>
            <w:vAlign w:val="center"/>
          </w:tcPr>
          <w:p w:rsidR="00B30D98" w:rsidRDefault="00D75835">
            <w:pPr>
              <w:rPr>
                <w:rFonts w:hint="eastAsia"/>
              </w:rPr>
            </w:pPr>
            <w:r>
              <w:rPr>
                <w:sz w:val="14"/>
              </w:rPr>
              <w:t>OS Policy Assignment</w:t>
            </w:r>
          </w:p>
        </w:tc>
        <w:tc>
          <w:tcPr>
            <w:tcW w:w="2045" w:type="dxa"/>
            <w:vAlign w:val="center"/>
          </w:tcPr>
          <w:p w:rsidR="00B30D98" w:rsidRDefault="00D75835">
            <w:pPr>
              <w:rPr>
                <w:rFonts w:hint="eastAsia"/>
              </w:rPr>
            </w:pPr>
            <w:r>
              <w:rPr>
                <w:sz w:val="14"/>
              </w:rPr>
              <w:t>osconfig.osPolicyAssignments.update</w:t>
            </w:r>
          </w:p>
        </w:tc>
        <w:tc>
          <w:tcPr>
            <w:tcW w:w="2045" w:type="dxa"/>
            <w:vAlign w:val="center"/>
          </w:tcPr>
          <w:p w:rsidR="00B30D98" w:rsidRDefault="00D75835">
            <w:pPr>
              <w:rPr>
                <w:rFonts w:hint="eastAsia"/>
              </w:rPr>
            </w:pPr>
            <w:r>
              <w:rPr>
                <w:sz w:val="14"/>
              </w:rPr>
              <w:t>Supported mutable metadata</w:t>
            </w:r>
          </w:p>
        </w:tc>
        <w:tc>
          <w:tcPr>
            <w:tcW w:w="2045" w:type="dxa"/>
            <w:vAlign w:val="center"/>
          </w:tcPr>
          <w:p w:rsidR="00B30D98" w:rsidRDefault="00D75835">
            <w:pPr>
              <w:rPr>
                <w:rFonts w:hint="eastAsia"/>
              </w:rPr>
            </w:pPr>
            <w:r>
              <w:rPr>
                <w:sz w:val="14"/>
              </w:rPr>
              <w:t>Bro</w:t>
            </w:r>
            <w:r>
              <w:rPr>
                <w:sz w:val="14"/>
              </w:rPr>
              <w:t>wnfield + Greenfield</w:t>
            </w:r>
          </w:p>
        </w:tc>
      </w:tr>
      <w:tr w:rsidR="00B30D98">
        <w:trPr>
          <w:jc w:val="center"/>
        </w:trPr>
        <w:tc>
          <w:tcPr>
            <w:tcW w:w="2045" w:type="dxa"/>
            <w:vAlign w:val="center"/>
          </w:tcPr>
          <w:p w:rsidR="00B30D98" w:rsidRDefault="00D75835">
            <w:pPr>
              <w:rPr>
                <w:rFonts w:hint="eastAsia"/>
              </w:rPr>
            </w:pPr>
            <w:r>
              <w:rPr>
                <w:sz w:val="14"/>
              </w:rPr>
              <w:t>Eventarc</w:t>
            </w:r>
          </w:p>
        </w:tc>
        <w:tc>
          <w:tcPr>
            <w:tcW w:w="2045" w:type="dxa"/>
            <w:vAlign w:val="center"/>
          </w:tcPr>
          <w:p w:rsidR="00B30D98" w:rsidRDefault="00D75835">
            <w:pPr>
              <w:rPr>
                <w:rFonts w:hint="eastAsia"/>
              </w:rPr>
            </w:pPr>
            <w:r>
              <w:rPr>
                <w:sz w:val="14"/>
              </w:rPr>
              <w:t>Trigger</w:t>
            </w:r>
          </w:p>
        </w:tc>
        <w:tc>
          <w:tcPr>
            <w:tcW w:w="2045" w:type="dxa"/>
            <w:vAlign w:val="center"/>
          </w:tcPr>
          <w:p w:rsidR="00B30D98" w:rsidRDefault="00D75835">
            <w:pPr>
              <w:rPr>
                <w:rFonts w:hint="eastAsia"/>
              </w:rPr>
            </w:pPr>
            <w:r>
              <w:rPr>
                <w:sz w:val="14"/>
              </w:rPr>
              <w:t>eventarc.triggers.update</w:t>
            </w:r>
          </w:p>
        </w:tc>
        <w:tc>
          <w:tcPr>
            <w:tcW w:w="2045" w:type="dxa"/>
            <w:vAlign w:val="center"/>
          </w:tcPr>
          <w:p w:rsidR="00B30D98" w:rsidRDefault="00D75835">
            <w:pPr>
              <w:rPr>
                <w:rFonts w:hint="eastAsia"/>
              </w:rPr>
            </w:pPr>
            <w:r>
              <w:rPr>
                <w:sz w:val="14"/>
              </w:rPr>
              <w:t>Labels / supported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Apigee</w:t>
            </w:r>
          </w:p>
        </w:tc>
        <w:tc>
          <w:tcPr>
            <w:tcW w:w="2045" w:type="dxa"/>
            <w:vAlign w:val="center"/>
          </w:tcPr>
          <w:p w:rsidR="00B30D98" w:rsidRDefault="00D75835">
            <w:pPr>
              <w:rPr>
                <w:rFonts w:hint="eastAsia"/>
              </w:rPr>
            </w:pPr>
            <w:r>
              <w:rPr>
                <w:sz w:val="14"/>
              </w:rPr>
              <w:t>Instance</w:t>
            </w:r>
          </w:p>
        </w:tc>
        <w:tc>
          <w:tcPr>
            <w:tcW w:w="2045" w:type="dxa"/>
            <w:vAlign w:val="center"/>
          </w:tcPr>
          <w:p w:rsidR="00B30D98" w:rsidRDefault="00D75835">
            <w:pPr>
              <w:rPr>
                <w:rFonts w:hint="eastAsia"/>
              </w:rPr>
            </w:pPr>
            <w:r>
              <w:rPr>
                <w:sz w:val="14"/>
              </w:rPr>
              <w:t>apigee.instances.update</w:t>
            </w:r>
          </w:p>
        </w:tc>
        <w:tc>
          <w:tcPr>
            <w:tcW w:w="2045" w:type="dxa"/>
            <w:vAlign w:val="center"/>
          </w:tcPr>
          <w:p w:rsidR="00B30D98" w:rsidRDefault="00D75835">
            <w:pPr>
              <w:rPr>
                <w:rFonts w:hint="eastAsia"/>
              </w:rPr>
            </w:pPr>
            <w:r>
              <w:rPr>
                <w:sz w:val="14"/>
              </w:rPr>
              <w:t>Supported mutable metadata</w:t>
            </w:r>
          </w:p>
        </w:tc>
        <w:tc>
          <w:tcPr>
            <w:tcW w:w="2045" w:type="dxa"/>
            <w:vAlign w:val="center"/>
          </w:tcPr>
          <w:p w:rsidR="00B30D98" w:rsidRDefault="00D75835">
            <w:pPr>
              <w:rPr>
                <w:rFonts w:hint="eastAsia"/>
              </w:rPr>
            </w:pPr>
            <w:r>
              <w:rPr>
                <w:sz w:val="14"/>
              </w:rPr>
              <w:t>Brownfield + Greenfield*</w:t>
            </w:r>
          </w:p>
        </w:tc>
      </w:tr>
      <w:tr w:rsidR="00B30D98">
        <w:trPr>
          <w:jc w:val="center"/>
        </w:trPr>
        <w:tc>
          <w:tcPr>
            <w:tcW w:w="2045" w:type="dxa"/>
            <w:vAlign w:val="center"/>
          </w:tcPr>
          <w:p w:rsidR="00B30D98" w:rsidRDefault="00D75835">
            <w:pPr>
              <w:rPr>
                <w:rFonts w:hint="eastAsia"/>
              </w:rPr>
            </w:pPr>
            <w:r>
              <w:rPr>
                <w:sz w:val="14"/>
              </w:rPr>
              <w:t>Cloud Monitoring</w:t>
            </w:r>
          </w:p>
        </w:tc>
        <w:tc>
          <w:tcPr>
            <w:tcW w:w="2045" w:type="dxa"/>
            <w:vAlign w:val="center"/>
          </w:tcPr>
          <w:p w:rsidR="00B30D98" w:rsidRDefault="00D75835">
            <w:pPr>
              <w:rPr>
                <w:rFonts w:hint="eastAsia"/>
              </w:rPr>
            </w:pPr>
            <w:r>
              <w:rPr>
                <w:sz w:val="14"/>
              </w:rPr>
              <w:t>Alert Policy</w:t>
            </w:r>
          </w:p>
        </w:tc>
        <w:tc>
          <w:tcPr>
            <w:tcW w:w="2045" w:type="dxa"/>
            <w:vAlign w:val="center"/>
          </w:tcPr>
          <w:p w:rsidR="00B30D98" w:rsidRDefault="00D75835">
            <w:pPr>
              <w:rPr>
                <w:rFonts w:hint="eastAsia"/>
              </w:rPr>
            </w:pPr>
            <w:r>
              <w:rPr>
                <w:sz w:val="14"/>
              </w:rPr>
              <w:t>monitoring.alertPolicies.update</w:t>
            </w:r>
          </w:p>
        </w:tc>
        <w:tc>
          <w:tcPr>
            <w:tcW w:w="2045" w:type="dxa"/>
            <w:vAlign w:val="center"/>
          </w:tcPr>
          <w:p w:rsidR="00B30D98" w:rsidRDefault="00D75835">
            <w:pPr>
              <w:rPr>
                <w:rFonts w:hint="eastAsia"/>
              </w:rPr>
            </w:pPr>
            <w:r>
              <w:rPr>
                <w:sz w:val="14"/>
              </w:rPr>
              <w:t>User labels / supported metadata</w:t>
            </w:r>
          </w:p>
        </w:tc>
        <w:tc>
          <w:tcPr>
            <w:tcW w:w="2045" w:type="dxa"/>
            <w:vAlign w:val="center"/>
          </w:tcPr>
          <w:p w:rsidR="00B30D98" w:rsidRDefault="00D75835">
            <w:pPr>
              <w:rPr>
                <w:rFonts w:hint="eastAsia"/>
              </w:rPr>
            </w:pPr>
            <w:r>
              <w:rPr>
                <w:sz w:val="14"/>
              </w:rPr>
              <w:t>Brownfield + Greenfield</w:t>
            </w:r>
          </w:p>
        </w:tc>
      </w:tr>
    </w:tbl>
    <w:p w:rsidR="00B30D98" w:rsidRDefault="00D75835">
      <w:pPr>
        <w:rPr>
          <w:rFonts w:hint="eastAsia"/>
        </w:rPr>
      </w:pPr>
      <w:r>
        <w:t xml:space="preserve">* Greenfield coverage is event-dependent. The platform must not infer Greenfield support solely from the existence of an update permission. For each resource family, </w:t>
      </w:r>
      <w:r>
        <w:t>the organisation-level audit-log filter must include the verified creation method and the adapter must support a safe post-create metadata update. Where either condition is not verified, the resource remains Brownfield-capable and is reported as Greenfield</w:t>
      </w:r>
      <w:r>
        <w:t xml:space="preserve"> pending validation.</w:t>
      </w:r>
    </w:p>
    <w:p w:rsidR="00B30D98" w:rsidRDefault="00D75835">
      <w:pPr>
        <w:pStyle w:val="Heading2"/>
      </w:pPr>
      <w:r>
        <w:t>19.1 Brownfield Coverage</w:t>
      </w:r>
    </w:p>
    <w:p w:rsidR="00B30D98" w:rsidRDefault="00D75835">
      <w:pPr>
        <w:rPr>
          <w:rFonts w:hint="eastAsia"/>
        </w:rPr>
      </w:pPr>
      <w:r>
        <w:t>Brownfield processing uses Cloud Asset Inventory to discover supported resources across the governed organisation/project scope. Each discovered resource is classified by asset type, resolved against the Govern</w:t>
      </w:r>
      <w:r>
        <w:t>ance Registry, evaluated for mandatory metadata, planned for remediation where required, executed through the relevant adapter and recorded in BigQuery.</w:t>
      </w:r>
    </w:p>
    <w:p w:rsidR="00B30D98" w:rsidRDefault="00D75835">
      <w:pPr>
        <w:pStyle w:val="Heading2"/>
      </w:pPr>
      <w:r>
        <w:t>19.2 Greenfield Coverage</w:t>
      </w:r>
    </w:p>
    <w:p w:rsidR="00B30D98" w:rsidRDefault="00D75835">
      <w:pPr>
        <w:rPr>
          <w:rFonts w:hint="eastAsia"/>
        </w:rPr>
      </w:pPr>
      <w:r>
        <w:t>Greenfield processing is event-driven. Resource creation is captured from Clou</w:t>
      </w:r>
      <w:r>
        <w:t>d Audit Logs through the organisation aggregated logging sink, published to Pub/Sub and delivered through Eventarc to Cloud Run. The same compliance and adapter framework is then used to remediate the newly created resource. This avoids maintaining a separ</w:t>
      </w:r>
      <w:r>
        <w:t>ate tagging implementation for Greenfield resources.</w:t>
      </w:r>
    </w:p>
    <w:p w:rsidR="00B30D98" w:rsidRDefault="00D75835">
      <w:pPr>
        <w:pStyle w:val="Heading2"/>
      </w:pPr>
      <w:r>
        <w:t>19.3 Required Custom Remediation Role</w:t>
      </w:r>
    </w:p>
    <w:p w:rsidR="00B30D98" w:rsidRDefault="00D75835">
      <w:r>
        <w:t xml:space="preserve">For production, prefer a dedicated custom IAM role containing only the permissions required by the enabled resource catalogue, rather than granting broad predefined </w:t>
      </w:r>
      <w:r>
        <w:t>administrative roles. The role should be version-controlled in Terraform and reviewed whenever a new resource adapter is enabled.</w:t>
      </w:r>
    </w:p>
    <w:p w:rsidR="00E41ED5" w:rsidRDefault="00E41ED5">
      <w:pPr>
        <w:rPr>
          <w:rFonts w:hint="eastAsia"/>
        </w:rPr>
      </w:pPr>
    </w:p>
    <w:p w:rsidR="00B30D98" w:rsidRDefault="00D75835">
      <w:pPr>
        <w:pStyle w:val="ListBullet"/>
        <w:rPr>
          <w:rFonts w:hint="eastAsia"/>
        </w:rPr>
      </w:pPr>
      <w:r>
        <w:rPr>
          <w:rFonts w:ascii="Consolas" w:hAnsi="Consolas"/>
          <w:sz w:val="17"/>
        </w:rPr>
        <w:lastRenderedPageBreak/>
        <w:t>resourcemanager.projects.get</w:t>
      </w:r>
    </w:p>
    <w:p w:rsidR="00B30D98" w:rsidRDefault="00D75835">
      <w:pPr>
        <w:pStyle w:val="ListBullet"/>
        <w:rPr>
          <w:rFonts w:hint="eastAsia"/>
        </w:rPr>
      </w:pPr>
      <w:r>
        <w:rPr>
          <w:rFonts w:ascii="Consolas" w:hAnsi="Consolas"/>
          <w:sz w:val="17"/>
        </w:rPr>
        <w:t>resourcemanager.projects.update</w:t>
      </w:r>
    </w:p>
    <w:p w:rsidR="00B30D98" w:rsidRDefault="00D75835">
      <w:pPr>
        <w:pStyle w:val="ListBullet"/>
        <w:rPr>
          <w:rFonts w:hint="eastAsia"/>
        </w:rPr>
      </w:pPr>
      <w:r>
        <w:rPr>
          <w:rFonts w:ascii="Consolas" w:hAnsi="Consolas"/>
          <w:sz w:val="17"/>
        </w:rPr>
        <w:t>compute.instances.setLabels</w:t>
      </w:r>
    </w:p>
    <w:p w:rsidR="00B30D98" w:rsidRDefault="00D75835">
      <w:pPr>
        <w:pStyle w:val="ListBullet"/>
        <w:rPr>
          <w:rFonts w:hint="eastAsia"/>
        </w:rPr>
      </w:pPr>
      <w:r>
        <w:rPr>
          <w:rFonts w:ascii="Consolas" w:hAnsi="Consolas"/>
          <w:sz w:val="17"/>
        </w:rPr>
        <w:t>compute.disks.setLabels</w:t>
      </w:r>
    </w:p>
    <w:p w:rsidR="00B30D98" w:rsidRDefault="00D75835">
      <w:pPr>
        <w:pStyle w:val="ListBullet"/>
        <w:rPr>
          <w:rFonts w:hint="eastAsia"/>
        </w:rPr>
      </w:pPr>
      <w:r>
        <w:rPr>
          <w:rFonts w:ascii="Consolas" w:hAnsi="Consolas"/>
          <w:sz w:val="17"/>
        </w:rPr>
        <w:t>compute.snaps</w:t>
      </w:r>
      <w:r>
        <w:rPr>
          <w:rFonts w:ascii="Consolas" w:hAnsi="Consolas"/>
          <w:sz w:val="17"/>
        </w:rPr>
        <w:t>hots.setLabels</w:t>
      </w:r>
    </w:p>
    <w:p w:rsidR="00B30D98" w:rsidRDefault="00D75835">
      <w:pPr>
        <w:pStyle w:val="ListBullet"/>
        <w:rPr>
          <w:rFonts w:hint="eastAsia"/>
        </w:rPr>
      </w:pPr>
      <w:r>
        <w:rPr>
          <w:rFonts w:ascii="Consolas" w:hAnsi="Consolas"/>
          <w:sz w:val="17"/>
        </w:rPr>
        <w:t>compute.images.setLabels</w:t>
      </w:r>
    </w:p>
    <w:p w:rsidR="00B30D98" w:rsidRDefault="00D75835">
      <w:pPr>
        <w:pStyle w:val="ListBullet"/>
        <w:rPr>
          <w:rFonts w:hint="eastAsia"/>
        </w:rPr>
      </w:pPr>
      <w:r>
        <w:rPr>
          <w:rFonts w:ascii="Consolas" w:hAnsi="Consolas"/>
          <w:sz w:val="17"/>
        </w:rPr>
        <w:t>compute.forwardingRules.setLabels</w:t>
      </w:r>
    </w:p>
    <w:p w:rsidR="00B30D98" w:rsidRDefault="00D75835">
      <w:pPr>
        <w:pStyle w:val="ListBullet"/>
        <w:rPr>
          <w:rFonts w:hint="eastAsia"/>
        </w:rPr>
      </w:pPr>
      <w:r>
        <w:rPr>
          <w:rFonts w:ascii="Consolas" w:hAnsi="Consolas"/>
          <w:sz w:val="17"/>
        </w:rPr>
        <w:t>compute.addresses.setLabels</w:t>
      </w:r>
    </w:p>
    <w:p w:rsidR="00B30D98" w:rsidRDefault="00D75835">
      <w:pPr>
        <w:pStyle w:val="ListBullet"/>
        <w:rPr>
          <w:rFonts w:hint="eastAsia"/>
        </w:rPr>
      </w:pPr>
      <w:r>
        <w:rPr>
          <w:rFonts w:ascii="Consolas" w:hAnsi="Consolas"/>
          <w:sz w:val="17"/>
        </w:rPr>
        <w:t>storage.buckets.update</w:t>
      </w:r>
    </w:p>
    <w:p w:rsidR="00B30D98" w:rsidRDefault="00D75835">
      <w:pPr>
        <w:pStyle w:val="ListBullet"/>
        <w:rPr>
          <w:rFonts w:hint="eastAsia"/>
        </w:rPr>
      </w:pPr>
      <w:r>
        <w:rPr>
          <w:rFonts w:ascii="Consolas" w:hAnsi="Consolas"/>
          <w:sz w:val="17"/>
        </w:rPr>
        <w:t>bigquery.datasets.update</w:t>
      </w:r>
    </w:p>
    <w:p w:rsidR="00B30D98" w:rsidRDefault="00D75835">
      <w:pPr>
        <w:pStyle w:val="ListBullet"/>
        <w:rPr>
          <w:rFonts w:hint="eastAsia"/>
        </w:rPr>
      </w:pPr>
      <w:r>
        <w:rPr>
          <w:rFonts w:ascii="Consolas" w:hAnsi="Consolas"/>
          <w:sz w:val="17"/>
        </w:rPr>
        <w:t>bigquery.tables.update</w:t>
      </w:r>
    </w:p>
    <w:p w:rsidR="00B30D98" w:rsidRDefault="00D75835">
      <w:pPr>
        <w:pStyle w:val="ListBullet"/>
        <w:rPr>
          <w:rFonts w:hint="eastAsia"/>
        </w:rPr>
      </w:pPr>
      <w:r>
        <w:rPr>
          <w:rFonts w:ascii="Consolas" w:hAnsi="Consolas"/>
          <w:sz w:val="17"/>
        </w:rPr>
        <w:t>cloudsql.instances.update</w:t>
      </w:r>
    </w:p>
    <w:p w:rsidR="00B30D98" w:rsidRDefault="00D75835">
      <w:pPr>
        <w:pStyle w:val="ListBullet"/>
        <w:rPr>
          <w:rFonts w:hint="eastAsia"/>
        </w:rPr>
      </w:pPr>
      <w:r>
        <w:rPr>
          <w:rFonts w:ascii="Consolas" w:hAnsi="Consolas"/>
          <w:sz w:val="17"/>
        </w:rPr>
        <w:t>container.clusters.update</w:t>
      </w:r>
    </w:p>
    <w:p w:rsidR="00B30D98" w:rsidRDefault="00D75835">
      <w:pPr>
        <w:pStyle w:val="ListBullet"/>
        <w:rPr>
          <w:rFonts w:hint="eastAsia"/>
        </w:rPr>
      </w:pPr>
      <w:r>
        <w:rPr>
          <w:rFonts w:ascii="Consolas" w:hAnsi="Consolas"/>
          <w:sz w:val="17"/>
        </w:rPr>
        <w:t>redis.instances.update</w:t>
      </w:r>
    </w:p>
    <w:p w:rsidR="00B30D98" w:rsidRDefault="00D75835">
      <w:pPr>
        <w:pStyle w:val="ListBullet"/>
        <w:rPr>
          <w:rFonts w:hint="eastAsia"/>
        </w:rPr>
      </w:pPr>
      <w:r>
        <w:rPr>
          <w:rFonts w:ascii="Consolas" w:hAnsi="Consolas"/>
          <w:sz w:val="17"/>
        </w:rPr>
        <w:t>cloudkms</w:t>
      </w:r>
      <w:r>
        <w:rPr>
          <w:rFonts w:ascii="Consolas" w:hAnsi="Consolas"/>
          <w:sz w:val="17"/>
        </w:rPr>
        <w:t>.cryptoKeys.update</w:t>
      </w:r>
    </w:p>
    <w:p w:rsidR="00B30D98" w:rsidRDefault="00D75835">
      <w:pPr>
        <w:pStyle w:val="ListBullet"/>
        <w:rPr>
          <w:rFonts w:hint="eastAsia"/>
        </w:rPr>
      </w:pPr>
      <w:r>
        <w:rPr>
          <w:rFonts w:ascii="Consolas" w:hAnsi="Consolas"/>
          <w:sz w:val="17"/>
        </w:rPr>
        <w:t>secretmanager.secrets.update</w:t>
      </w:r>
    </w:p>
    <w:p w:rsidR="00B30D98" w:rsidRDefault="00D75835">
      <w:pPr>
        <w:pStyle w:val="ListBullet"/>
        <w:rPr>
          <w:rFonts w:hint="eastAsia"/>
        </w:rPr>
      </w:pPr>
      <w:r>
        <w:rPr>
          <w:rFonts w:ascii="Consolas" w:hAnsi="Consolas"/>
          <w:sz w:val="17"/>
        </w:rPr>
        <w:t>pubsub.topics.update</w:t>
      </w:r>
    </w:p>
    <w:p w:rsidR="00B30D98" w:rsidRDefault="00D75835">
      <w:pPr>
        <w:pStyle w:val="ListBullet"/>
        <w:rPr>
          <w:rFonts w:hint="eastAsia"/>
        </w:rPr>
      </w:pPr>
      <w:r>
        <w:rPr>
          <w:rFonts w:ascii="Consolas" w:hAnsi="Consolas"/>
          <w:sz w:val="17"/>
        </w:rPr>
        <w:t>pubsub.subscriptions.update</w:t>
      </w:r>
    </w:p>
    <w:p w:rsidR="00B30D98" w:rsidRDefault="00D75835">
      <w:pPr>
        <w:pStyle w:val="ListBullet"/>
        <w:rPr>
          <w:rFonts w:hint="eastAsia"/>
        </w:rPr>
      </w:pPr>
      <w:r>
        <w:rPr>
          <w:rFonts w:ascii="Consolas" w:hAnsi="Consolas"/>
          <w:sz w:val="17"/>
        </w:rPr>
        <w:t>artifactregistry.repositories.update</w:t>
      </w:r>
    </w:p>
    <w:p w:rsidR="00B30D98" w:rsidRDefault="00D75835">
      <w:pPr>
        <w:pStyle w:val="ListBullet"/>
        <w:rPr>
          <w:rFonts w:hint="eastAsia"/>
        </w:rPr>
      </w:pPr>
      <w:r>
        <w:rPr>
          <w:rFonts w:ascii="Consolas" w:hAnsi="Consolas"/>
          <w:sz w:val="17"/>
        </w:rPr>
        <w:t>run.services.update</w:t>
      </w:r>
    </w:p>
    <w:p w:rsidR="00B30D98" w:rsidRDefault="00D75835">
      <w:pPr>
        <w:pStyle w:val="ListBullet"/>
        <w:rPr>
          <w:rFonts w:hint="eastAsia"/>
        </w:rPr>
      </w:pPr>
      <w:r>
        <w:rPr>
          <w:rFonts w:ascii="Consolas" w:hAnsi="Consolas"/>
          <w:sz w:val="17"/>
        </w:rPr>
        <w:t>appengine.applications.update</w:t>
      </w:r>
    </w:p>
    <w:p w:rsidR="00B30D98" w:rsidRDefault="00D75835">
      <w:pPr>
        <w:pStyle w:val="ListBullet"/>
        <w:rPr>
          <w:rFonts w:hint="eastAsia"/>
        </w:rPr>
      </w:pPr>
      <w:r>
        <w:rPr>
          <w:rFonts w:ascii="Consolas" w:hAnsi="Consolas"/>
          <w:sz w:val="17"/>
        </w:rPr>
        <w:t>appengine.services.update</w:t>
      </w:r>
    </w:p>
    <w:p w:rsidR="00B30D98" w:rsidRDefault="00D75835">
      <w:pPr>
        <w:pStyle w:val="ListBullet"/>
        <w:rPr>
          <w:rFonts w:hint="eastAsia"/>
        </w:rPr>
      </w:pPr>
      <w:r>
        <w:rPr>
          <w:rFonts w:ascii="Consolas" w:hAnsi="Consolas"/>
          <w:sz w:val="17"/>
        </w:rPr>
        <w:t>appengine.versions.update</w:t>
      </w:r>
    </w:p>
    <w:p w:rsidR="00B30D98" w:rsidRDefault="00D75835">
      <w:pPr>
        <w:pStyle w:val="ListBullet"/>
        <w:rPr>
          <w:rFonts w:hint="eastAsia"/>
        </w:rPr>
      </w:pPr>
      <w:r>
        <w:rPr>
          <w:rFonts w:ascii="Consolas" w:hAnsi="Consolas"/>
          <w:sz w:val="17"/>
        </w:rPr>
        <w:t>cloudbuild.builds.up</w:t>
      </w:r>
      <w:r>
        <w:rPr>
          <w:rFonts w:ascii="Consolas" w:hAnsi="Consolas"/>
          <w:sz w:val="17"/>
        </w:rPr>
        <w:t>date</w:t>
      </w:r>
    </w:p>
    <w:p w:rsidR="00B30D98" w:rsidRDefault="00D75835">
      <w:pPr>
        <w:pStyle w:val="ListBullet"/>
        <w:rPr>
          <w:rFonts w:hint="eastAsia"/>
        </w:rPr>
      </w:pPr>
      <w:r>
        <w:rPr>
          <w:rFonts w:ascii="Consolas" w:hAnsi="Consolas"/>
          <w:sz w:val="17"/>
        </w:rPr>
        <w:t>developerconnect.connections.update</w:t>
      </w:r>
    </w:p>
    <w:p w:rsidR="00B30D98" w:rsidRDefault="00D75835">
      <w:pPr>
        <w:pStyle w:val="ListBullet"/>
        <w:rPr>
          <w:rFonts w:hint="eastAsia"/>
        </w:rPr>
      </w:pPr>
      <w:r>
        <w:rPr>
          <w:rFonts w:ascii="Consolas" w:hAnsi="Consolas"/>
          <w:sz w:val="17"/>
        </w:rPr>
        <w:t>developerconnect.gitRepositoryLinks.update</w:t>
      </w:r>
    </w:p>
    <w:p w:rsidR="00B30D98" w:rsidRDefault="00D75835">
      <w:pPr>
        <w:pStyle w:val="ListBullet"/>
        <w:rPr>
          <w:rFonts w:hint="eastAsia"/>
        </w:rPr>
      </w:pPr>
      <w:r>
        <w:rPr>
          <w:rFonts w:ascii="Consolas" w:hAnsi="Consolas"/>
          <w:sz w:val="17"/>
        </w:rPr>
        <w:t>osconfig.osPolicyAssignments.update</w:t>
      </w:r>
    </w:p>
    <w:p w:rsidR="00B30D98" w:rsidRDefault="00D75835">
      <w:pPr>
        <w:pStyle w:val="ListBullet"/>
        <w:rPr>
          <w:rFonts w:hint="eastAsia"/>
        </w:rPr>
      </w:pPr>
      <w:r>
        <w:rPr>
          <w:rFonts w:ascii="Consolas" w:hAnsi="Consolas"/>
          <w:sz w:val="17"/>
        </w:rPr>
        <w:t>eventarc.triggers.update</w:t>
      </w:r>
    </w:p>
    <w:p w:rsidR="00B30D98" w:rsidRDefault="00D75835">
      <w:pPr>
        <w:pStyle w:val="ListBullet"/>
        <w:rPr>
          <w:rFonts w:hint="eastAsia"/>
        </w:rPr>
      </w:pPr>
      <w:r>
        <w:rPr>
          <w:rFonts w:ascii="Consolas" w:hAnsi="Consolas"/>
          <w:sz w:val="17"/>
        </w:rPr>
        <w:t>apigee.instances.update</w:t>
      </w:r>
    </w:p>
    <w:p w:rsidR="00B30D98" w:rsidRDefault="00D75835">
      <w:pPr>
        <w:pStyle w:val="ListBullet"/>
        <w:rPr>
          <w:rFonts w:hint="eastAsia"/>
        </w:rPr>
      </w:pPr>
      <w:r>
        <w:rPr>
          <w:rFonts w:ascii="Consolas" w:hAnsi="Consolas"/>
          <w:sz w:val="17"/>
        </w:rPr>
        <w:t>monitoring.alertPolicies.update</w:t>
      </w:r>
    </w:p>
    <w:p w:rsidR="00B30D98" w:rsidRDefault="00D75835">
      <w:pPr>
        <w:pStyle w:val="Heading2"/>
      </w:pPr>
      <w:r>
        <w:t>19.4 Adapter Expansion Rule</w:t>
      </w:r>
    </w:p>
    <w:p w:rsidR="00B30D98" w:rsidRDefault="00D75835">
      <w:pPr>
        <w:rPr>
          <w:rFonts w:hint="eastAsia"/>
        </w:rPr>
      </w:pPr>
      <w:r>
        <w:t xml:space="preserve">A permission in the custom </w:t>
      </w:r>
      <w:r>
        <w:t>role does not by itself make a resource production-supported. A resource becomes enabled only when: (1) Cloud Asset Inventory discovery is validated, (2) registry classification is deterministic, (3) the adapter can read and update metadata safely, (4) ide</w:t>
      </w:r>
      <w:r>
        <w:t>mpotent remediation is tested, (5) post-update verification is implemented, and (6) the Greenfield creation audit event is verified when near real-time enforcement is required.</w:t>
      </w:r>
    </w:p>
    <w:p w:rsidR="00B30D98" w:rsidRDefault="00D75835">
      <w:pPr>
        <w:pStyle w:val="Heading1"/>
      </w:pPr>
      <w:r>
        <w:t>20. Updated Production Scope Summary</w:t>
      </w:r>
    </w:p>
    <w:p w:rsidR="00B30D98" w:rsidRDefault="00D75835">
      <w:pPr>
        <w:rPr>
          <w:rFonts w:hint="eastAsia"/>
        </w:rPr>
      </w:pPr>
      <w:r>
        <w:t>The target catalogue now contains 29 gover</w:t>
      </w:r>
      <w:r>
        <w:t>ned resource types across the major GCP services listed above. This catalogue is intentionally configuration/capability driven so the platform can scale without hardcoding application-specific behaviour. Brownfield and Greenfield use the same Governance Re</w:t>
      </w:r>
      <w:r>
        <w:t>gistry, compliance model and resource adapters, while their ingestion paths remain independent.</w:t>
      </w:r>
    </w:p>
    <w:p w:rsidR="00B30D98" w:rsidRDefault="00D75835">
      <w:pPr>
        <w:pStyle w:val="Heading2"/>
      </w:pPr>
      <w:r>
        <w:t>20.1 Architecture Impact</w:t>
      </w:r>
    </w:p>
    <w:p w:rsidR="00B30D98" w:rsidRDefault="00D75835">
      <w:pPr>
        <w:rPr>
          <w:rFonts w:hint="eastAsia"/>
        </w:rPr>
      </w:pPr>
      <w:r>
        <w:t>No additional always-on infrastructure is required as service coverage grows. New resource families are incorporated through Cloud Asse</w:t>
      </w:r>
      <w:r>
        <w:t>t Inventory asset-type support, verified audit-event filters and modular adapters. Cloud Run, Eventarc, Pub/Sub and Cloud Tasks retain the event-driven/serverless execution model, while BigQuery remains the central reporting and audit store.</w:t>
      </w:r>
    </w:p>
    <w:p w:rsidR="00B30D98" w:rsidRDefault="00D75835">
      <w:pPr>
        <w:rPr>
          <w:rFonts w:hint="eastAsia"/>
        </w:rPr>
      </w:pPr>
      <w:r>
        <w:br w:type="page"/>
      </w:r>
    </w:p>
    <w:p w:rsidR="00B30D98" w:rsidRDefault="00D75835">
      <w:pPr>
        <w:pStyle w:val="Heading1"/>
      </w:pPr>
      <w:r>
        <w:lastRenderedPageBreak/>
        <w:t xml:space="preserve">21. </w:t>
      </w:r>
      <w:r>
        <w:t>Dedicated Platform Project and Environment Strategy</w:t>
      </w:r>
    </w:p>
    <w:p w:rsidR="00B30D98" w:rsidRDefault="00D75835">
      <w:pPr>
        <w:rPr>
          <w:rFonts w:hint="eastAsia"/>
        </w:rPr>
      </w:pPr>
      <w:r>
        <w:t>The Enterprise Metadata Governance Platform will use two dedicated Google Cloud projects. The governance platform must not be deployed into client workload/application projects. Development and production</w:t>
      </w:r>
      <w:r>
        <w:t xml:space="preserve"> control-plane resources are isolated into separate projects to provide clear security, deployment, data, IAM and operational boundaries.</w:t>
      </w:r>
    </w:p>
    <w:p w:rsidR="00B30D98" w:rsidRDefault="00D75835">
      <w:pPr>
        <w:jc w:val="center"/>
        <w:rPr>
          <w:rFonts w:hint="eastAsia"/>
        </w:rPr>
      </w:pPr>
      <w:r>
        <w:rPr>
          <w:b/>
          <w:color w:val="1F4E79"/>
          <w:sz w:val="30"/>
        </w:rPr>
        <w:t>platform-metadata-dev     |     platform-metadata-prod</w:t>
      </w:r>
    </w:p>
    <w:tbl>
      <w:tblPr>
        <w:tblStyle w:val="TableGrid"/>
        <w:tblW w:w="0" w:type="auto"/>
        <w:jc w:val="center"/>
        <w:tblLook w:val="04A0" w:firstRow="1" w:lastRow="0" w:firstColumn="1" w:lastColumn="0" w:noHBand="0" w:noVBand="1"/>
      </w:tblPr>
      <w:tblGrid>
        <w:gridCol w:w="2556"/>
        <w:gridCol w:w="2556"/>
        <w:gridCol w:w="2556"/>
        <w:gridCol w:w="2556"/>
      </w:tblGrid>
      <w:tr w:rsidR="00B30D98">
        <w:trPr>
          <w:jc w:val="center"/>
        </w:trPr>
        <w:tc>
          <w:tcPr>
            <w:tcW w:w="2556" w:type="dxa"/>
            <w:shd w:val="clear" w:color="auto" w:fill="1F4E79"/>
          </w:tcPr>
          <w:p w:rsidR="00B30D98" w:rsidRDefault="00D75835">
            <w:pPr>
              <w:rPr>
                <w:rFonts w:hint="eastAsia"/>
              </w:rPr>
            </w:pPr>
            <w:r>
              <w:rPr>
                <w:b/>
                <w:color w:val="FFFFFF"/>
                <w:sz w:val="17"/>
              </w:rPr>
              <w:t>Dedicated Project</w:t>
            </w:r>
          </w:p>
        </w:tc>
        <w:tc>
          <w:tcPr>
            <w:tcW w:w="2556" w:type="dxa"/>
            <w:shd w:val="clear" w:color="auto" w:fill="1F4E79"/>
          </w:tcPr>
          <w:p w:rsidR="00B30D98" w:rsidRDefault="00D75835">
            <w:pPr>
              <w:rPr>
                <w:rFonts w:hint="eastAsia"/>
              </w:rPr>
            </w:pPr>
            <w:r>
              <w:rPr>
                <w:b/>
                <w:color w:val="FFFFFF"/>
                <w:sz w:val="17"/>
              </w:rPr>
              <w:t>Environment</w:t>
            </w:r>
          </w:p>
        </w:tc>
        <w:tc>
          <w:tcPr>
            <w:tcW w:w="2556" w:type="dxa"/>
            <w:shd w:val="clear" w:color="auto" w:fill="1F4E79"/>
          </w:tcPr>
          <w:p w:rsidR="00B30D98" w:rsidRDefault="00D75835">
            <w:pPr>
              <w:rPr>
                <w:rFonts w:hint="eastAsia"/>
              </w:rPr>
            </w:pPr>
            <w:r>
              <w:rPr>
                <w:b/>
                <w:color w:val="FFFFFF"/>
                <w:sz w:val="17"/>
              </w:rPr>
              <w:t>Purpose</w:t>
            </w:r>
          </w:p>
        </w:tc>
        <w:tc>
          <w:tcPr>
            <w:tcW w:w="2556" w:type="dxa"/>
            <w:shd w:val="clear" w:color="auto" w:fill="1F4E79"/>
          </w:tcPr>
          <w:p w:rsidR="00B30D98" w:rsidRDefault="00D75835">
            <w:pPr>
              <w:rPr>
                <w:rFonts w:hint="eastAsia"/>
              </w:rPr>
            </w:pPr>
            <w:r>
              <w:rPr>
                <w:b/>
                <w:color w:val="FFFFFF"/>
                <w:sz w:val="17"/>
              </w:rPr>
              <w:t>Workload Boundary</w:t>
            </w:r>
          </w:p>
        </w:tc>
      </w:tr>
      <w:tr w:rsidR="00B30D98">
        <w:trPr>
          <w:jc w:val="center"/>
        </w:trPr>
        <w:tc>
          <w:tcPr>
            <w:tcW w:w="2556" w:type="dxa"/>
          </w:tcPr>
          <w:p w:rsidR="00B30D98" w:rsidRDefault="00D75835">
            <w:pPr>
              <w:rPr>
                <w:rFonts w:hint="eastAsia"/>
              </w:rPr>
            </w:pPr>
            <w:r>
              <w:rPr>
                <w:sz w:val="16"/>
              </w:rPr>
              <w:t>platfo</w:t>
            </w:r>
            <w:r>
              <w:rPr>
                <w:sz w:val="16"/>
              </w:rPr>
              <w:t>rm-metadata-dev</w:t>
            </w:r>
          </w:p>
        </w:tc>
        <w:tc>
          <w:tcPr>
            <w:tcW w:w="2556" w:type="dxa"/>
          </w:tcPr>
          <w:p w:rsidR="00B30D98" w:rsidRDefault="00D75835">
            <w:pPr>
              <w:rPr>
                <w:rFonts w:hint="eastAsia"/>
              </w:rPr>
            </w:pPr>
            <w:r>
              <w:rPr>
                <w:sz w:val="16"/>
              </w:rPr>
              <w:t>Development / Test</w:t>
            </w:r>
          </w:p>
        </w:tc>
        <w:tc>
          <w:tcPr>
            <w:tcW w:w="2556" w:type="dxa"/>
          </w:tcPr>
          <w:p w:rsidR="00B30D98" w:rsidRDefault="00D75835">
            <w:pPr>
              <w:rPr>
                <w:rFonts w:hint="eastAsia"/>
              </w:rPr>
            </w:pPr>
            <w:r>
              <w:rPr>
                <w:sz w:val="16"/>
              </w:rPr>
              <w:t>Engineering, integration testing, adapter validation, Greenfield event validation, Brownfield testing, registry validation and dashboard development.</w:t>
            </w:r>
          </w:p>
        </w:tc>
        <w:tc>
          <w:tcPr>
            <w:tcW w:w="2556" w:type="dxa"/>
          </w:tcPr>
          <w:p w:rsidR="00B30D98" w:rsidRDefault="00D75835">
            <w:pPr>
              <w:rPr>
                <w:rFonts w:hint="eastAsia"/>
              </w:rPr>
            </w:pPr>
            <w:r>
              <w:rPr>
                <w:sz w:val="16"/>
              </w:rPr>
              <w:t>Non-production governance control plane</w:t>
            </w:r>
          </w:p>
        </w:tc>
      </w:tr>
      <w:tr w:rsidR="00B30D98">
        <w:trPr>
          <w:jc w:val="center"/>
        </w:trPr>
        <w:tc>
          <w:tcPr>
            <w:tcW w:w="2556" w:type="dxa"/>
          </w:tcPr>
          <w:p w:rsidR="00B30D98" w:rsidRDefault="00D75835">
            <w:pPr>
              <w:rPr>
                <w:rFonts w:hint="eastAsia"/>
              </w:rPr>
            </w:pPr>
            <w:r>
              <w:rPr>
                <w:sz w:val="16"/>
              </w:rPr>
              <w:t>platform-metadata-prod</w:t>
            </w:r>
          </w:p>
        </w:tc>
        <w:tc>
          <w:tcPr>
            <w:tcW w:w="2556" w:type="dxa"/>
          </w:tcPr>
          <w:p w:rsidR="00B30D98" w:rsidRDefault="00D75835">
            <w:pPr>
              <w:rPr>
                <w:rFonts w:hint="eastAsia"/>
              </w:rPr>
            </w:pPr>
            <w:r>
              <w:rPr>
                <w:sz w:val="16"/>
              </w:rPr>
              <w:t>Production</w:t>
            </w:r>
          </w:p>
        </w:tc>
        <w:tc>
          <w:tcPr>
            <w:tcW w:w="2556" w:type="dxa"/>
          </w:tcPr>
          <w:p w:rsidR="00B30D98" w:rsidRDefault="00D75835">
            <w:pPr>
              <w:rPr>
                <w:rFonts w:hint="eastAsia"/>
              </w:rPr>
            </w:pPr>
            <w:r>
              <w:rPr>
                <w:sz w:val="16"/>
              </w:rPr>
              <w:t>Organisation-wide production metadata governance, production registry, Brownfield discovery/remediation, Greenfield event processing, audit history and production dashboard.</w:t>
            </w:r>
          </w:p>
        </w:tc>
        <w:tc>
          <w:tcPr>
            <w:tcW w:w="2556" w:type="dxa"/>
          </w:tcPr>
          <w:p w:rsidR="00B30D98" w:rsidRDefault="00D75835">
            <w:pPr>
              <w:rPr>
                <w:rFonts w:hint="eastAsia"/>
              </w:rPr>
            </w:pPr>
            <w:r>
              <w:rPr>
                <w:sz w:val="16"/>
              </w:rPr>
              <w:t>Production governance control plane</w:t>
            </w:r>
          </w:p>
        </w:tc>
      </w:tr>
    </w:tbl>
    <w:p w:rsidR="00B30D98" w:rsidRDefault="00B30D98">
      <w:pPr>
        <w:rPr>
          <w:rFonts w:hint="eastAsia"/>
        </w:rPr>
      </w:pPr>
    </w:p>
    <w:p w:rsidR="00B30D98" w:rsidRDefault="00D75835">
      <w:pPr>
        <w:pStyle w:val="Heading2"/>
      </w:pPr>
      <w:r>
        <w:t>21.1 Environment Isolation</w:t>
      </w:r>
    </w:p>
    <w:p w:rsidR="00B30D98" w:rsidRDefault="00D75835">
      <w:pPr>
        <w:pStyle w:val="ListBullet"/>
        <w:rPr>
          <w:rFonts w:hint="eastAsia"/>
        </w:rPr>
      </w:pPr>
      <w:r>
        <w:t>platfo</w:t>
      </w:r>
      <w:r>
        <w:t>rm-metadata-dev and platform-metadata-prod are independent GCP projects - they are not application workload projects.</w:t>
      </w:r>
    </w:p>
    <w:p w:rsidR="00B30D98" w:rsidRDefault="00D75835">
      <w:pPr>
        <w:pStyle w:val="ListBullet"/>
        <w:rPr>
          <w:rFonts w:hint="eastAsia"/>
        </w:rPr>
      </w:pPr>
      <w:r>
        <w:t>Development changes are validated in platform-metadata-dev before promotion to platform-metadata-prod.</w:t>
      </w:r>
    </w:p>
    <w:p w:rsidR="00B30D98" w:rsidRDefault="00D75835">
      <w:pPr>
        <w:pStyle w:val="ListBullet"/>
        <w:rPr>
          <w:rFonts w:hint="eastAsia"/>
        </w:rPr>
      </w:pPr>
      <w:r>
        <w:t xml:space="preserve">Each project has its own Cloud Run </w:t>
      </w:r>
      <w:r>
        <w:t>services, service accounts, IAM bindings, Cloud Tasks queues, Pub/Sub/Eventarc resources, BigQuery governance dataset, registry/configuration, Artifact Registry resources, logging and monitoring configuration as required.</w:t>
      </w:r>
    </w:p>
    <w:p w:rsidR="00B30D98" w:rsidRDefault="00D75835">
      <w:pPr>
        <w:pStyle w:val="ListBullet"/>
        <w:rPr>
          <w:rFonts w:hint="eastAsia"/>
        </w:rPr>
      </w:pPr>
      <w:r>
        <w:t>Production governance data must re</w:t>
      </w:r>
      <w:r>
        <w:t>main isolated from development/test governance data.</w:t>
      </w:r>
    </w:p>
    <w:p w:rsidR="00B30D98" w:rsidRDefault="00D75835">
      <w:pPr>
        <w:pStyle w:val="ListBullet"/>
        <w:rPr>
          <w:rFonts w:hint="eastAsia"/>
        </w:rPr>
      </w:pPr>
      <w:r>
        <w:t>Production service accounts must not be reused by the development environment.</w:t>
      </w:r>
    </w:p>
    <w:p w:rsidR="00B30D98" w:rsidRDefault="00D75835">
      <w:pPr>
        <w:pStyle w:val="ListBullet"/>
        <w:rPr>
          <w:rFonts w:hint="eastAsia"/>
        </w:rPr>
      </w:pPr>
      <w:r>
        <w:t>Development service accounts must not receive production remediation permissions.</w:t>
      </w:r>
    </w:p>
    <w:p w:rsidR="00B30D98" w:rsidRDefault="00D75835">
      <w:pPr>
        <w:pStyle w:val="ListBullet"/>
        <w:rPr>
          <w:rFonts w:hint="eastAsia"/>
        </w:rPr>
      </w:pPr>
      <w:r>
        <w:t>Environment-specific values are supplied t</w:t>
      </w:r>
      <w:r>
        <w:t>hrough Terraform/configuration and must not be hardcoded into application logic.</w:t>
      </w:r>
    </w:p>
    <w:p w:rsidR="00B30D98" w:rsidRDefault="00D75835">
      <w:pPr>
        <w:pStyle w:val="ListBullet"/>
        <w:rPr>
          <w:rFonts w:hint="eastAsia"/>
        </w:rPr>
      </w:pPr>
      <w:r>
        <w:t>The same application code and infrastructure modules should be promoted between environments with environment-specific configuration.</w:t>
      </w:r>
    </w:p>
    <w:p w:rsidR="00B30D98" w:rsidRDefault="00D75835">
      <w:pPr>
        <w:pStyle w:val="Heading2"/>
      </w:pPr>
      <w:r>
        <w:t>21.2 Promotion Model</w:t>
      </w:r>
    </w:p>
    <w:p w:rsidR="00B30D98" w:rsidRDefault="00D75835">
      <w:pPr>
        <w:jc w:val="center"/>
        <w:rPr>
          <w:rFonts w:hint="eastAsia"/>
        </w:rPr>
      </w:pPr>
      <w:r>
        <w:rPr>
          <w:rFonts w:ascii="Consolas" w:hAnsi="Consolas"/>
          <w:b/>
          <w:sz w:val="20"/>
        </w:rPr>
        <w:t>Code / Registry / Te</w:t>
      </w:r>
      <w:r>
        <w:rPr>
          <w:rFonts w:ascii="Consolas" w:hAnsi="Consolas"/>
          <w:b/>
          <w:sz w:val="20"/>
        </w:rPr>
        <w:t>rraform Change</w:t>
      </w:r>
      <w:r>
        <w:rPr>
          <w:rFonts w:ascii="Consolas" w:hAnsi="Consolas"/>
          <w:b/>
          <w:sz w:val="20"/>
        </w:rPr>
        <w:br/>
        <w:t xml:space="preserve">        ↓</w:t>
      </w:r>
      <w:r>
        <w:rPr>
          <w:rFonts w:ascii="Consolas" w:hAnsi="Consolas"/>
          <w:b/>
          <w:sz w:val="20"/>
        </w:rPr>
        <w:br/>
        <w:t>platform-metadata-dev</w:t>
      </w:r>
      <w:r>
        <w:rPr>
          <w:rFonts w:ascii="Consolas" w:hAnsi="Consolas"/>
          <w:b/>
          <w:sz w:val="20"/>
        </w:rPr>
        <w:br/>
        <w:t xml:space="preserve">        ↓</w:t>
      </w:r>
      <w:r>
        <w:rPr>
          <w:rFonts w:ascii="Consolas" w:hAnsi="Consolas"/>
          <w:b/>
          <w:sz w:val="20"/>
        </w:rPr>
        <w:br/>
        <w:t>Validation + Integration + Greenfield/Brownfield Testing</w:t>
      </w:r>
      <w:r>
        <w:rPr>
          <w:rFonts w:ascii="Consolas" w:hAnsi="Consolas"/>
          <w:b/>
          <w:sz w:val="20"/>
        </w:rPr>
        <w:br/>
        <w:t xml:space="preserve">        ↓</w:t>
      </w:r>
      <w:r>
        <w:rPr>
          <w:rFonts w:ascii="Consolas" w:hAnsi="Consolas"/>
          <w:b/>
          <w:sz w:val="20"/>
        </w:rPr>
        <w:br/>
        <w:t>Approval</w:t>
      </w:r>
      <w:r>
        <w:rPr>
          <w:rFonts w:ascii="Consolas" w:hAnsi="Consolas"/>
          <w:b/>
          <w:sz w:val="20"/>
        </w:rPr>
        <w:br/>
        <w:t xml:space="preserve">        ↓</w:t>
      </w:r>
      <w:r>
        <w:rPr>
          <w:rFonts w:ascii="Consolas" w:hAnsi="Consolas"/>
          <w:b/>
          <w:sz w:val="20"/>
        </w:rPr>
        <w:br/>
        <w:t>platform-metadata-prod</w:t>
      </w:r>
    </w:p>
    <w:p w:rsidR="00B30D98" w:rsidRDefault="00D75835">
      <w:pPr>
        <w:pStyle w:val="Heading2"/>
      </w:pPr>
      <w:r>
        <w:t>21.3 Production Project Responsibilities</w:t>
      </w:r>
    </w:p>
    <w:p w:rsidR="00B30D98" w:rsidRDefault="00D75835">
      <w:pPr>
        <w:pStyle w:val="ListBullet"/>
        <w:rPr>
          <w:rFonts w:hint="eastAsia"/>
        </w:rPr>
      </w:pPr>
      <w:r>
        <w:t>Host the production Cloud Run governance engine a</w:t>
      </w:r>
      <w:r>
        <w:t>nd private worker services.</w:t>
      </w:r>
    </w:p>
    <w:p w:rsidR="00B30D98" w:rsidRDefault="00D75835">
      <w:pPr>
        <w:pStyle w:val="ListBullet"/>
        <w:rPr>
          <w:rFonts w:hint="eastAsia"/>
        </w:rPr>
      </w:pPr>
      <w:r>
        <w:t>Host the production dashboard service protected for authorised organisation users.</w:t>
      </w:r>
    </w:p>
    <w:p w:rsidR="00B30D98" w:rsidRDefault="00D75835">
      <w:pPr>
        <w:pStyle w:val="ListBullet"/>
        <w:rPr>
          <w:rFonts w:hint="eastAsia"/>
        </w:rPr>
      </w:pPr>
      <w:r>
        <w:t>Maintain the production Governance Registry/source of truth.</w:t>
      </w:r>
    </w:p>
    <w:p w:rsidR="00B30D98" w:rsidRDefault="00D75835">
      <w:pPr>
        <w:pStyle w:val="ListBullet"/>
        <w:rPr>
          <w:rFonts w:hint="eastAsia"/>
        </w:rPr>
      </w:pPr>
      <w:r>
        <w:t>Host the production BigQuery governance and audit datasets.</w:t>
      </w:r>
    </w:p>
    <w:p w:rsidR="00B30D98" w:rsidRDefault="00D75835">
      <w:pPr>
        <w:pStyle w:val="ListBullet"/>
        <w:rPr>
          <w:rFonts w:hint="eastAsia"/>
        </w:rPr>
      </w:pPr>
      <w:r>
        <w:t xml:space="preserve">Run production </w:t>
      </w:r>
      <w:r>
        <w:t>Brownfield discovery and remediation across approved client scope.</w:t>
      </w:r>
    </w:p>
    <w:p w:rsidR="00B30D98" w:rsidRDefault="00D75835">
      <w:pPr>
        <w:pStyle w:val="ListBullet"/>
        <w:rPr>
          <w:rFonts w:hint="eastAsia"/>
        </w:rPr>
      </w:pPr>
      <w:r>
        <w:t>Receive and process approved organisation-level Greenfield resource creation events.</w:t>
      </w:r>
    </w:p>
    <w:p w:rsidR="00B30D98" w:rsidRDefault="00D75835">
      <w:pPr>
        <w:pStyle w:val="ListBullet"/>
        <w:rPr>
          <w:rFonts w:hint="eastAsia"/>
        </w:rPr>
      </w:pPr>
      <w:r>
        <w:t>Host production Cloud Tasks, Pub/Sub/Eventarc integration and supporting platform services.</w:t>
      </w:r>
    </w:p>
    <w:p w:rsidR="00B30D98" w:rsidRDefault="00D75835">
      <w:pPr>
        <w:pStyle w:val="ListBullet"/>
        <w:rPr>
          <w:rFonts w:hint="eastAsia"/>
        </w:rPr>
      </w:pPr>
      <w:r>
        <w:t>Maintain pro</w:t>
      </w:r>
      <w:r>
        <w:t>duction audit, operational logging, monitoring and reporting.</w:t>
      </w:r>
    </w:p>
    <w:p w:rsidR="00E41ED5" w:rsidRDefault="00E41ED5">
      <w:pPr>
        <w:pStyle w:val="Heading2"/>
      </w:pPr>
    </w:p>
    <w:p w:rsidR="00B30D98" w:rsidRDefault="00D75835">
      <w:pPr>
        <w:pStyle w:val="Heading2"/>
      </w:pPr>
      <w:bookmarkStart w:id="0" w:name="_GoBack"/>
      <w:bookmarkEnd w:id="0"/>
      <w:r>
        <w:t>21.4 Development Project Responsibilities</w:t>
      </w:r>
    </w:p>
    <w:p w:rsidR="00B30D98" w:rsidRDefault="00D75835">
      <w:pPr>
        <w:pStyle w:val="ListBullet"/>
        <w:rPr>
          <w:rFonts w:hint="eastAsia"/>
        </w:rPr>
      </w:pPr>
      <w:r>
        <w:t>Validate new resource adapters and GCP service coverage before production enablement.</w:t>
      </w:r>
    </w:p>
    <w:p w:rsidR="00B30D98" w:rsidRDefault="00D75835">
      <w:pPr>
        <w:pStyle w:val="ListBullet"/>
        <w:rPr>
          <w:rFonts w:hint="eastAsia"/>
        </w:rPr>
      </w:pPr>
      <w:r>
        <w:t>Validate Cloud Audit Log creation methods and Greenfield event fil</w:t>
      </w:r>
      <w:r>
        <w:t>ters.</w:t>
      </w:r>
    </w:p>
    <w:p w:rsidR="00B30D98" w:rsidRDefault="00D75835">
      <w:pPr>
        <w:pStyle w:val="ListBullet"/>
        <w:rPr>
          <w:rFonts w:hint="eastAsia"/>
        </w:rPr>
      </w:pPr>
      <w:r>
        <w:t>Test Brownfield discovery, compliance, planning and remediation behaviour.</w:t>
      </w:r>
    </w:p>
    <w:p w:rsidR="00B30D98" w:rsidRDefault="00D75835">
      <w:pPr>
        <w:pStyle w:val="ListBullet"/>
        <w:rPr>
          <w:rFonts w:hint="eastAsia"/>
        </w:rPr>
      </w:pPr>
      <w:r>
        <w:t>Test registry schema and application/project mapping changes.</w:t>
      </w:r>
    </w:p>
    <w:p w:rsidR="00B30D98" w:rsidRDefault="00D75835">
      <w:pPr>
        <w:pStyle w:val="ListBullet"/>
        <w:rPr>
          <w:rFonts w:hint="eastAsia"/>
        </w:rPr>
      </w:pPr>
      <w:r>
        <w:t>Validate IAM changes and custom remediation role updates.</w:t>
      </w:r>
    </w:p>
    <w:p w:rsidR="00B30D98" w:rsidRDefault="00D75835">
      <w:pPr>
        <w:pStyle w:val="ListBullet"/>
        <w:rPr>
          <w:rFonts w:hint="eastAsia"/>
        </w:rPr>
      </w:pPr>
      <w:r>
        <w:t>Develop and test dashboard/reporting changes.</w:t>
      </w:r>
    </w:p>
    <w:p w:rsidR="00B30D98" w:rsidRDefault="00D75835">
      <w:pPr>
        <w:pStyle w:val="ListBullet"/>
        <w:rPr>
          <w:rFonts w:hint="eastAsia"/>
        </w:rPr>
      </w:pPr>
      <w:r>
        <w:t xml:space="preserve">Perform </w:t>
      </w:r>
      <w:r>
        <w:t>integration and regression testing before production promotion.</w:t>
      </w:r>
    </w:p>
    <w:p w:rsidR="00B30D98" w:rsidRDefault="00D75835">
      <w:pPr>
        <w:pStyle w:val="Heading2"/>
      </w:pPr>
      <w:r>
        <w:t>21.5 Enterprise Environment Design Decision</w:t>
      </w:r>
    </w:p>
    <w:p w:rsidR="00B30D98" w:rsidRDefault="00D75835">
      <w:pPr>
        <w:rPr>
          <w:rFonts w:hint="eastAsia"/>
        </w:rPr>
      </w:pPr>
      <w:r>
        <w:t xml:space="preserve">Architecture Decision: Two dedicated governance projects are mandatory for the target implementation. 'platform-metadata-dev' is the non-production </w:t>
      </w:r>
      <w:r>
        <w:t>engineering and validation environment. 'platform-metadata-prod' is the production governance control plane. Client workload projects remain governed targets and do not host the shared governance platform.</w:t>
      </w:r>
    </w:p>
    <w:p w:rsidR="00B30D98" w:rsidRDefault="00D75835">
      <w:pPr>
        <w:pStyle w:val="Heading2"/>
      </w:pPr>
      <w:r>
        <w:t>21.6 Updated Logical Deployment</w:t>
      </w:r>
    </w:p>
    <w:p w:rsidR="00B30D98" w:rsidRDefault="00D75835">
      <w:pPr>
        <w:rPr>
          <w:rFonts w:hint="eastAsia"/>
        </w:rPr>
      </w:pPr>
      <w:r>
        <w:rPr>
          <w:rFonts w:ascii="Consolas" w:hAnsi="Consolas"/>
          <w:sz w:val="17"/>
        </w:rPr>
        <w:t>CLIENT GCP ORGANIS</w:t>
      </w:r>
      <w:r>
        <w:rPr>
          <w:rFonts w:ascii="Consolas" w:hAnsi="Consolas"/>
          <w:sz w:val="17"/>
        </w:rPr>
        <w:t>ATION</w:t>
      </w:r>
      <w:r>
        <w:rPr>
          <w:rFonts w:ascii="Consolas" w:hAnsi="Consolas"/>
          <w:sz w:val="17"/>
        </w:rPr>
        <w:br/>
        <w:t>│</w:t>
      </w:r>
      <w:r>
        <w:rPr>
          <w:rFonts w:ascii="Consolas" w:hAnsi="Consolas"/>
          <w:sz w:val="17"/>
        </w:rPr>
        <w:br/>
        <w:t>├── Workload Projects (DEV / TEST / UAT / PROD / Shared)</w:t>
      </w:r>
      <w:r>
        <w:rPr>
          <w:rFonts w:ascii="Consolas" w:hAnsi="Consolas"/>
          <w:sz w:val="17"/>
        </w:rPr>
        <w:br/>
        <w:t>│       │</w:t>
      </w:r>
      <w:r>
        <w:rPr>
          <w:rFonts w:ascii="Consolas" w:hAnsi="Consolas"/>
          <w:sz w:val="17"/>
        </w:rPr>
        <w:br/>
        <w:t>│       ├── Brownfield resources ── Cloud Asset Inventory</w:t>
      </w:r>
      <w:r>
        <w:rPr>
          <w:rFonts w:ascii="Consolas" w:hAnsi="Consolas"/>
          <w:sz w:val="17"/>
        </w:rPr>
        <w:br/>
        <w:t>│       └── Greenfield events ───── Cloud Audit Logs</w:t>
      </w:r>
      <w:r>
        <w:rPr>
          <w:rFonts w:ascii="Consolas" w:hAnsi="Consolas"/>
          <w:sz w:val="17"/>
        </w:rPr>
        <w:br/>
        <w:t>│</w:t>
      </w:r>
      <w:r>
        <w:rPr>
          <w:rFonts w:ascii="Consolas" w:hAnsi="Consolas"/>
          <w:sz w:val="17"/>
        </w:rPr>
        <w:br/>
        <w:t>├── platform-metadata-dev</w:t>
      </w:r>
      <w:r>
        <w:rPr>
          <w:rFonts w:ascii="Consolas" w:hAnsi="Consolas"/>
          <w:sz w:val="17"/>
        </w:rPr>
        <w:br/>
        <w:t>│       ├── Development Governance Engine</w:t>
      </w:r>
      <w:r>
        <w:rPr>
          <w:rFonts w:ascii="Consolas" w:hAnsi="Consolas"/>
          <w:sz w:val="17"/>
        </w:rPr>
        <w:br/>
      </w:r>
      <w:r>
        <w:rPr>
          <w:rFonts w:ascii="Consolas" w:hAnsi="Consolas"/>
          <w:sz w:val="17"/>
        </w:rPr>
        <w:t>│       ├── Development Worker / Cloud Tasks</w:t>
      </w:r>
      <w:r>
        <w:rPr>
          <w:rFonts w:ascii="Consolas" w:hAnsi="Consolas"/>
          <w:sz w:val="17"/>
        </w:rPr>
        <w:br/>
        <w:t>│       ├── Development Registry</w:t>
      </w:r>
      <w:r>
        <w:rPr>
          <w:rFonts w:ascii="Consolas" w:hAnsi="Consolas"/>
          <w:sz w:val="17"/>
        </w:rPr>
        <w:br/>
        <w:t>│       ├── Development BigQuery Governance Data</w:t>
      </w:r>
      <w:r>
        <w:rPr>
          <w:rFonts w:ascii="Consolas" w:hAnsi="Consolas"/>
          <w:sz w:val="17"/>
        </w:rPr>
        <w:br/>
        <w:t>│       ├── Development Event Integration</w:t>
      </w:r>
      <w:r>
        <w:rPr>
          <w:rFonts w:ascii="Consolas" w:hAnsi="Consolas"/>
          <w:sz w:val="17"/>
        </w:rPr>
        <w:br/>
        <w:t>│       └── Development Dashboard</w:t>
      </w:r>
      <w:r>
        <w:rPr>
          <w:rFonts w:ascii="Consolas" w:hAnsi="Consolas"/>
          <w:sz w:val="17"/>
        </w:rPr>
        <w:br/>
        <w:t>│</w:t>
      </w:r>
      <w:r>
        <w:rPr>
          <w:rFonts w:ascii="Consolas" w:hAnsi="Consolas"/>
          <w:sz w:val="17"/>
        </w:rPr>
        <w:br/>
        <w:t>└── platform-metadata-prod</w:t>
      </w:r>
      <w:r>
        <w:rPr>
          <w:rFonts w:ascii="Consolas" w:hAnsi="Consolas"/>
          <w:sz w:val="17"/>
        </w:rPr>
        <w:br/>
        <w:t xml:space="preserve">        ├── Production G</w:t>
      </w:r>
      <w:r>
        <w:rPr>
          <w:rFonts w:ascii="Consolas" w:hAnsi="Consolas"/>
          <w:sz w:val="17"/>
        </w:rPr>
        <w:t>overnance Engine</w:t>
      </w:r>
      <w:r>
        <w:rPr>
          <w:rFonts w:ascii="Consolas" w:hAnsi="Consolas"/>
          <w:sz w:val="17"/>
        </w:rPr>
        <w:br/>
        <w:t xml:space="preserve">        ├── Production Worker / Cloud Tasks</w:t>
      </w:r>
      <w:r>
        <w:rPr>
          <w:rFonts w:ascii="Consolas" w:hAnsi="Consolas"/>
          <w:sz w:val="17"/>
        </w:rPr>
        <w:br/>
        <w:t xml:space="preserve">        ├── Production Governance Registry</w:t>
      </w:r>
      <w:r>
        <w:rPr>
          <w:rFonts w:ascii="Consolas" w:hAnsi="Consolas"/>
          <w:sz w:val="17"/>
        </w:rPr>
        <w:br/>
        <w:t xml:space="preserve">        ├── Production BigQuery Governance &amp; Audit Data</w:t>
      </w:r>
      <w:r>
        <w:rPr>
          <w:rFonts w:ascii="Consolas" w:hAnsi="Consolas"/>
          <w:sz w:val="17"/>
        </w:rPr>
        <w:br/>
        <w:t xml:space="preserve">        ├── Production Pub/Sub / Eventarc Integration</w:t>
      </w:r>
      <w:r>
        <w:rPr>
          <w:rFonts w:ascii="Consolas" w:hAnsi="Consolas"/>
          <w:sz w:val="17"/>
        </w:rPr>
        <w:br/>
        <w:t xml:space="preserve">        └── Production Authenticated Dashb</w:t>
      </w:r>
      <w:r>
        <w:rPr>
          <w:rFonts w:ascii="Consolas" w:hAnsi="Consolas"/>
          <w:sz w:val="17"/>
        </w:rPr>
        <w:t>oard</w:t>
      </w:r>
    </w:p>
    <w:p w:rsidR="00B30D98" w:rsidRDefault="00D75835">
      <w:pPr>
        <w:rPr>
          <w:rFonts w:hint="eastAsia"/>
        </w:rPr>
      </w:pPr>
      <w:r>
        <w:t xml:space="preserve">The organisation-level production event and discovery configuration must route production governance processing to platform-metadata-prod. Development validation must be explicitly scoped so that platform-metadata-dev cannot unintentionally remediate </w:t>
      </w:r>
      <w:r>
        <w:t>production resources.</w:t>
      </w:r>
    </w:p>
    <w:sectPr w:rsidR="00B30D98"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5835" w:rsidRDefault="00D75835">
      <w:pPr>
        <w:spacing w:after="0" w:line="240" w:lineRule="auto"/>
        <w:rPr>
          <w:rFonts w:hint="eastAsia"/>
        </w:rPr>
      </w:pPr>
      <w:r>
        <w:separator/>
      </w:r>
    </w:p>
  </w:endnote>
  <w:endnote w:type="continuationSeparator" w:id="0">
    <w:p w:rsidR="00D75835" w:rsidRDefault="00D758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D98" w:rsidRDefault="00D75835">
    <w:pPr>
      <w:pStyle w:val="Footer"/>
      <w:jc w:val="center"/>
      <w:rPr>
        <w:rFonts w:hint="eastAsia"/>
      </w:rPr>
    </w:pPr>
    <w:r>
      <w:rPr>
        <w:color w:val="646464"/>
        <w:sz w:val="16"/>
      </w:rPr>
      <w:t>Architecture &amp; Design Review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5835" w:rsidRDefault="00D75835">
      <w:pPr>
        <w:spacing w:after="0" w:line="240" w:lineRule="auto"/>
        <w:rPr>
          <w:rFonts w:hint="eastAsia"/>
        </w:rPr>
      </w:pPr>
      <w:r>
        <w:separator/>
      </w:r>
    </w:p>
  </w:footnote>
  <w:footnote w:type="continuationSeparator" w:id="0">
    <w:p w:rsidR="00D75835" w:rsidRDefault="00D75835">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D98" w:rsidRDefault="00D75835">
    <w:pPr>
      <w:pStyle w:val="Header"/>
      <w:jc w:val="right"/>
      <w:rPr>
        <w:rFonts w:hint="eastAsia"/>
      </w:rPr>
    </w:pPr>
    <w:r>
      <w:rPr>
        <w:color w:val="646464"/>
        <w:sz w:val="16"/>
      </w:rPr>
      <w:t>Enterprise Metadata Governance Platform | Final Tagging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C5647"/>
    <w:rsid w:val="00717DF6"/>
    <w:rsid w:val="00AA1D8D"/>
    <w:rsid w:val="00B30D98"/>
    <w:rsid w:val="00B47730"/>
    <w:rsid w:val="00CB0664"/>
    <w:rsid w:val="00D75835"/>
    <w:rsid w:val="00E41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0BD082-AE15-4015-9DC3-E031DFBE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C3232-DA99-479D-B84A-1A5AB368D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4378</Words>
  <Characters>24960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4</cp:revision>
  <dcterms:created xsi:type="dcterms:W3CDTF">2013-12-23T23:15:00Z</dcterms:created>
  <dcterms:modified xsi:type="dcterms:W3CDTF">2026-07-24T07:21:00Z</dcterms:modified>
  <cp:category/>
</cp:coreProperties>
</file>