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24"/>
      </w:tblGrid>
      <w:tr>
        <w:tc>
          <w:tcPr>
            <w:tcW w:type="dxa" w:w="10325"/>
            <w:shd w:fill="214563"/>
            <w:tcMar>
              <w:top w:w="100" w:type="dxa"/>
              <w:start w:w="110" w:type="dxa"/>
              <w:bottom w:w="90" w:type="dxa"/>
              <w:end w:w="110" w:type="dxa"/>
            </w:tcMar>
          </w:tcPr>
          <w:p>
            <w:pPr>
              <w:spacing w:after="0"/>
            </w:pPr>
            <w:r>
              <w:rPr>
                <w:rFonts w:ascii="Arial" w:hAnsi="Arial"/>
                <w:b/>
                <w:color w:val="FFFFFF"/>
                <w:sz w:val="31"/>
              </w:rPr>
              <w:t>GCP Resource Tagging:</w:t>
              <w:br/>
              <w:t>Enterprise Metadata Governance Platform</w:t>
            </w:r>
          </w:p>
          <w:p>
            <w:pPr>
              <w:spacing w:after="0"/>
            </w:pPr>
            <w:r>
              <w:rPr>
                <w:rFonts w:ascii="Arial" w:hAnsi="Arial"/>
                <w:color w:val="B9C8D3"/>
                <w:sz w:val="17"/>
              </w:rPr>
              <w:t>Prepared for: RB Global - Cloud Engineering   |   Updated July 2026</w:t>
            </w:r>
          </w:p>
        </w:tc>
      </w:tr>
    </w:tbl>
    <w:p>
      <w:pPr>
        <w:spacing w:after="20"/>
      </w:pPr>
    </w:p>
    <w:p>
      <w:pPr>
        <w:pStyle w:val="DocH1"/>
        <w:pBdr>
          <w:bottom w:val="single" w:sz="6" w:space="2" w:color="CFE3F2"/>
        </w:pBdr>
      </w:pPr>
      <w:r>
        <w:t>1.  Executive Summary</w:t>
      </w:r>
    </w:p>
    <w:p>
      <w:pPr>
        <w:pStyle w:val="DocBody"/>
      </w:pPr>
      <w:r>
        <w:t xml:space="preserve">RB Global's GCP metadata governance solution is implemented as a </w:t>
      </w:r>
      <w:r>
        <w:rPr>
          <w:b/>
        </w:rPr>
        <w:t>centralised, event-driven and serverless platform</w:t>
      </w:r>
      <w:r>
        <w:t xml:space="preserve"> for governing metadata across the Google Cloud estate. It supports existing resources (Brownfield) and newly created resources (Greenfield), while application ownership and required governance values remain outside runtime code.</w:t>
      </w:r>
    </w:p>
    <w:p>
      <w:pPr>
        <w:pStyle w:val="DocBody"/>
      </w:pPr>
      <w:r>
        <w:t xml:space="preserve">Two dedicated governance projects provide environment isolation: </w:t>
      </w:r>
      <w:r>
        <w:rPr>
          <w:b/>
        </w:rPr>
        <w:t>platform-metadata-dev</w:t>
      </w:r>
      <w:r>
        <w:t xml:space="preserve"> for development, integration and controlled validation, and </w:t>
      </w:r>
      <w:r>
        <w:rPr>
          <w:b/>
        </w:rPr>
        <w:t>platform-metadata-prod</w:t>
      </w:r>
      <w:r>
        <w:t xml:space="preserve"> for production organisation-wide governance.</w:t>
      </w:r>
    </w:p>
    <w:p>
      <w:pPr>
        <w:pStyle w:val="DocBody"/>
      </w:pPr>
      <w:r>
        <w:t>The design combines Cloud Asset Inventory, Cloud Audit Logs, Pub/Sub/Eventarc, Cloud Run, Cloud Tasks, Cloud Storage and BigQuery. This provides a consumption-based control plane, near-real-time Greenfield processing and auditable Brownfield remediation.</w:t>
      </w:r>
    </w:p>
    <w:p>
      <w:pPr>
        <w:pStyle w:val="DocH2"/>
      </w:pPr>
      <w:r>
        <w:t>Core Platform Capabilities</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Capability</w:t>
            </w:r>
          </w:p>
        </w:tc>
        <w:tc>
          <w:tcPr>
            <w:tcW w:type="dxa" w:w="7344"/>
            <w:shd w:fill="CFE3F2"/>
            <w:tcMar>
              <w:top w:w="70" w:type="dxa"/>
              <w:start w:w="80" w:type="dxa"/>
              <w:bottom w:w="70" w:type="dxa"/>
              <w:end w:w="80" w:type="dxa"/>
            </w:tcMar>
          </w:tcPr>
          <w:p>
            <w:pPr>
              <w:spacing w:after="0"/>
            </w:pPr>
            <w:r>
              <w:rPr>
                <w:rFonts w:ascii="Arial" w:hAnsi="Arial"/>
                <w:b/>
                <w:color w:val="214563"/>
                <w:sz w:val="16"/>
              </w:rPr>
              <w:t>Current Project Implementation</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Brownfield Governance</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Cloud Asset Inventory discovery -&gt; compliance -&gt; planning -&gt; Cloud Tasks -&gt; worker -&gt; resource adapter</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Greenfield Governance</w:t>
            </w:r>
          </w:p>
        </w:tc>
        <w:tc>
          <w:tcPr>
            <w:tcW w:type="dxa" w:w="5162"/>
            <w:tcMar>
              <w:top w:w="70" w:type="dxa"/>
              <w:start w:w="80" w:type="dxa"/>
              <w:bottom w:w="70" w:type="dxa"/>
              <w:end w:w="80" w:type="dxa"/>
            </w:tcMar>
            <w:vAlign w:val="top"/>
          </w:tcPr>
          <w:p>
            <w:pPr>
              <w:spacing w:after="0" w:line="240" w:lineRule="auto"/>
            </w:pPr>
            <w:r>
              <w:rPr>
                <w:rFonts w:ascii="Arial" w:hAnsi="Arial"/>
                <w:sz w:val="16"/>
              </w:rPr>
              <w:t>Cloud Audit Logs -&gt; Pub/Sub/Eventarc -&gt; Cloud Run -&gt; classifier -&gt; compliance -&gt; resource adapter</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Application Registry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YAML source of truth in Cloud Storage with schema validation and runtime caching</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Compliance Engine</w:t>
            </w:r>
          </w:p>
        </w:tc>
        <w:tc>
          <w:tcPr>
            <w:tcW w:type="dxa" w:w="5162"/>
            <w:tcMar>
              <w:top w:w="70" w:type="dxa"/>
              <w:start w:w="80" w:type="dxa"/>
              <w:bottom w:w="70" w:type="dxa"/>
              <w:end w:w="80" w:type="dxa"/>
            </w:tcMar>
            <w:vAlign w:val="top"/>
          </w:tcPr>
          <w:p>
            <w:pPr>
              <w:spacing w:after="0" w:line="240" w:lineRule="auto"/>
            </w:pPr>
            <w:r>
              <w:rPr>
                <w:rFonts w:ascii="Arial" w:hAnsi="Arial"/>
                <w:sz w:val="16"/>
              </w:rPr>
              <w:t>Compares live metadata against registry-derived required metadata</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Remediation</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Service-specific adapters perform safe metadata updates using native GCP APIs</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Audit &amp; Reporting</w:t>
            </w:r>
          </w:p>
        </w:tc>
        <w:tc>
          <w:tcPr>
            <w:tcW w:type="dxa" w:w="5162"/>
            <w:tcMar>
              <w:top w:w="70" w:type="dxa"/>
              <w:start w:w="80" w:type="dxa"/>
              <w:bottom w:w="70" w:type="dxa"/>
              <w:end w:w="80" w:type="dxa"/>
            </w:tcMar>
            <w:vAlign w:val="top"/>
          </w:tcPr>
          <w:p>
            <w:pPr>
              <w:spacing w:after="0" w:line="240" w:lineRule="auto"/>
            </w:pPr>
            <w:r>
              <w:rPr>
                <w:rFonts w:ascii="Arial" w:hAnsi="Arial"/>
                <w:sz w:val="16"/>
              </w:rPr>
              <w:t>BigQuery stores inventory, compliance, plans and execution evidence; dashboard consumes reporting APIs</w:t>
            </w:r>
          </w:p>
        </w:tc>
      </w:tr>
    </w:tbl>
    <w:p>
      <w:pPr>
        <w:spacing w:after="20"/>
      </w:pPr>
    </w:p>
    <w:p>
      <w:pPr>
        <w:pStyle w:val="DocH1"/>
        <w:pBdr>
          <w:bottom w:val="single" w:sz="6" w:space="2" w:color="CFE3F2"/>
        </w:pBdr>
      </w:pPr>
      <w:r>
        <w:t>2.  Architecture and Processing Model</w:t>
      </w:r>
    </w:p>
    <w:p>
      <w:pPr>
        <w:pStyle w:val="DocBody"/>
      </w:pPr>
      <w:r>
        <w:t>Brownfield and Greenfield use the same governance model. Their ingestion paths differ, but both converge on registry resolution, capability validation, compliance evaluation, service-specific remediation and audit evidence.</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232"/>
            <w:shd w:fill="CFE3F2"/>
            <w:tcMar>
              <w:top w:w="70" w:type="dxa"/>
              <w:start w:w="80" w:type="dxa"/>
              <w:bottom w:w="70" w:type="dxa"/>
              <w:end w:w="80" w:type="dxa"/>
            </w:tcMar>
          </w:tcPr>
          <w:p>
            <w:pPr>
              <w:spacing w:after="0"/>
            </w:pPr>
            <w:r>
              <w:rPr>
                <w:rFonts w:ascii="Arial" w:hAnsi="Arial"/>
                <w:b/>
                <w:color w:val="214563"/>
                <w:sz w:val="16"/>
              </w:rPr>
              <w:t>Mode</w:t>
            </w:r>
          </w:p>
        </w:tc>
        <w:tc>
          <w:tcPr>
            <w:tcW w:type="dxa" w:w="7992"/>
            <w:shd w:fill="CFE3F2"/>
            <w:tcMar>
              <w:top w:w="70" w:type="dxa"/>
              <w:start w:w="80" w:type="dxa"/>
              <w:bottom w:w="70" w:type="dxa"/>
              <w:end w:w="80" w:type="dxa"/>
            </w:tcMar>
          </w:tcPr>
          <w:p>
            <w:pPr>
              <w:spacing w:after="0"/>
            </w:pPr>
            <w:r>
              <w:rPr>
                <w:rFonts w:ascii="Arial" w:hAnsi="Arial"/>
                <w:b/>
                <w:color w:val="214563"/>
                <w:sz w:val="16"/>
              </w:rPr>
              <w:t>End-to-End Flow</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Brownfield</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Target projects -&gt; Cloud Asset Inventory -&gt; Discovery -&gt; Registry -&gt; Compliance -&gt; Planner -&gt; Cloud Tasks -&gt; Worker -&gt; Adapter -&gt; BigQuery</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Greenfield</w:t>
            </w:r>
          </w:p>
        </w:tc>
        <w:tc>
          <w:tcPr>
            <w:tcW w:type="dxa" w:w="5162"/>
            <w:tcMar>
              <w:top w:w="70" w:type="dxa"/>
              <w:start w:w="80" w:type="dxa"/>
              <w:bottom w:w="70" w:type="dxa"/>
              <w:end w:w="80" w:type="dxa"/>
            </w:tcMar>
            <w:vAlign w:val="top"/>
          </w:tcPr>
          <w:p>
            <w:pPr>
              <w:spacing w:after="0" w:line="240" w:lineRule="auto"/>
            </w:pPr>
            <w:r>
              <w:rPr>
                <w:rFonts w:ascii="Arial" w:hAnsi="Arial"/>
                <w:sz w:val="16"/>
              </w:rPr>
              <w:t>Resource creation -&gt; Cloud Audit Logs -&gt; Pub/Sub/Eventarc -&gt; Cloud Run -&gt; Classifier -&gt; Capability -&gt; Compliance -&gt; Adapter -&gt; BigQuery</w:t>
            </w:r>
          </w:p>
        </w:tc>
      </w:tr>
    </w:tbl>
    <w:p>
      <w:pPr>
        <w:spacing w:after="20"/>
      </w:pPr>
    </w:p>
    <w:p>
      <w:pPr>
        <w:pStyle w:val="DocH2"/>
      </w:pPr>
      <w:r>
        <w:t>Serverless Design Benefits</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Benefit</w:t>
            </w:r>
          </w:p>
        </w:tc>
        <w:tc>
          <w:tcPr>
            <w:tcW w:type="dxa" w:w="7344"/>
            <w:shd w:fill="CFE3F2"/>
            <w:tcMar>
              <w:top w:w="70" w:type="dxa"/>
              <w:start w:w="80" w:type="dxa"/>
              <w:bottom w:w="70" w:type="dxa"/>
              <w:end w:w="80" w:type="dxa"/>
            </w:tcMar>
          </w:tcPr>
          <w:p>
            <w:pPr>
              <w:spacing w:after="0"/>
            </w:pPr>
            <w:r>
              <w:rPr>
                <w:rFonts w:ascii="Arial" w:hAnsi="Arial"/>
                <w:b/>
                <w:color w:val="214563"/>
                <w:sz w:val="16"/>
              </w:rPr>
              <w:t>Outcome</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Cost Efficiency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Cloud Run and Cloud Tasks scale with actual work; no dedicated always-on remediation server is required.</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Near Real-Time Compliance</w:t>
            </w:r>
          </w:p>
        </w:tc>
        <w:tc>
          <w:tcPr>
            <w:tcW w:type="dxa" w:w="5162"/>
            <w:tcMar>
              <w:top w:w="70" w:type="dxa"/>
              <w:start w:w="80" w:type="dxa"/>
              <w:bottom w:w="70" w:type="dxa"/>
              <w:end w:w="80" w:type="dxa"/>
            </w:tcMar>
            <w:vAlign w:val="top"/>
          </w:tcPr>
          <w:p>
            <w:pPr>
              <w:spacing w:after="0" w:line="240" w:lineRule="auto"/>
            </w:pPr>
            <w:r>
              <w:rPr>
                <w:rFonts w:ascii="Arial" w:hAnsi="Arial"/>
                <w:sz w:val="16"/>
              </w:rPr>
              <w:t>Greenfield creation events are evaluated after the corresponding audit event is delivered.</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Zero Idle Worker Infrastructure</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Asynchronous workers execute only when remediation batches exist.</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Resilience</w:t>
            </w:r>
          </w:p>
        </w:tc>
        <w:tc>
          <w:tcPr>
            <w:tcW w:type="dxa" w:w="5162"/>
            <w:tcMar>
              <w:top w:w="70" w:type="dxa"/>
              <w:start w:w="80" w:type="dxa"/>
              <w:bottom w:w="70" w:type="dxa"/>
              <w:end w:w="80" w:type="dxa"/>
            </w:tcMar>
            <w:vAlign w:val="top"/>
          </w:tcPr>
          <w:p>
            <w:pPr>
              <w:spacing w:after="0" w:line="240" w:lineRule="auto"/>
            </w:pPr>
            <w:r>
              <w:rPr>
                <w:rFonts w:ascii="Arial" w:hAnsi="Arial"/>
                <w:sz w:val="16"/>
              </w:rPr>
              <w:t>Independent batches, retries and failure isolation prevent one resource failure from stopping unrelated work.</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Central Visibility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BigQuery and the dashboard provide a consolidated governance view across target projects.</w:t>
            </w:r>
          </w:p>
        </w:tc>
      </w:tr>
    </w:tbl>
    <w:p>
      <w:pPr>
        <w:spacing w:after="20"/>
      </w:pPr>
    </w:p>
    <w:p>
      <w:r>
        <w:br w:type="page"/>
      </w:r>
    </w:p>
    <w:p>
      <w:pPr>
        <w:pStyle w:val="DocH1"/>
        <w:pBdr>
          <w:bottom w:val="single" w:sz="6" w:space="2" w:color="CFE3F2"/>
        </w:pBdr>
      </w:pPr>
      <w:r>
        <w:t>3.  Brownfield Governance</w:t>
      </w:r>
    </w:p>
    <w:p>
      <w:pPr>
        <w:pStyle w:val="DocBody"/>
      </w:pPr>
      <w:r>
        <w:t xml:space="preserve">Brownfield processing governs existing resources across the selected project scope. Each execution creates a common </w:t>
      </w:r>
      <w:r>
        <w:rPr>
          <w:b/>
        </w:rPr>
        <w:t>run_id</w:t>
      </w:r>
      <w:r>
        <w:t>, discovers resources, evaluates supported capabilities, plans required changes and submits remediation work asynchronously.</w:t>
      </w:r>
    </w:p>
    <w:p>
      <w:pPr>
        <w:pStyle w:val="DocBody"/>
      </w:pPr>
      <w:r>
        <w:t xml:space="preserve">The default </w:t>
      </w:r>
      <w:r>
        <w:rPr>
          <w:b/>
        </w:rPr>
        <w:t>REMEDIATION_BATCH_SIZE is 500</w:t>
      </w:r>
      <w:r>
        <w:t>. Therefore, 1,000,000 planned remediation actions represent approximately 2,000 Cloud Tasks batches before retries - not one million individual tasks.</w:t>
      </w:r>
    </w:p>
    <w:p>
      <w:pPr>
        <w:pStyle w:val="DocH2"/>
      </w:pPr>
      <w:r>
        <w:t>Brownfield Control Points</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592"/>
            <w:shd w:fill="CFE3F2"/>
            <w:tcMar>
              <w:top w:w="70" w:type="dxa"/>
              <w:start w:w="80" w:type="dxa"/>
              <w:bottom w:w="70" w:type="dxa"/>
              <w:end w:w="80" w:type="dxa"/>
            </w:tcMar>
          </w:tcPr>
          <w:p>
            <w:pPr>
              <w:spacing w:after="0"/>
            </w:pPr>
            <w:r>
              <w:rPr>
                <w:rFonts w:ascii="Arial" w:hAnsi="Arial"/>
                <w:b/>
                <w:color w:val="214563"/>
                <w:sz w:val="16"/>
              </w:rPr>
              <w:t>Control</w:t>
            </w:r>
          </w:p>
        </w:tc>
        <w:tc>
          <w:tcPr>
            <w:tcW w:type="dxa" w:w="7632"/>
            <w:shd w:fill="CFE3F2"/>
            <w:tcMar>
              <w:top w:w="70" w:type="dxa"/>
              <w:start w:w="80" w:type="dxa"/>
              <w:bottom w:w="70" w:type="dxa"/>
              <w:end w:w="80" w:type="dxa"/>
            </w:tcMar>
          </w:tcPr>
          <w:p>
            <w:pPr>
              <w:spacing w:after="0"/>
            </w:pPr>
            <w:r>
              <w:rPr>
                <w:rFonts w:ascii="Arial" w:hAnsi="Arial"/>
                <w:b/>
                <w:color w:val="214563"/>
                <w:sz w:val="16"/>
              </w:rPr>
              <w:t>Behaviour</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Discovery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Cloud Asset Inventory provides scalable inventory discovery across visible target projects.</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Registry Resolution</w:t>
            </w:r>
          </w:p>
        </w:tc>
        <w:tc>
          <w:tcPr>
            <w:tcW w:type="dxa" w:w="5162"/>
            <w:tcMar>
              <w:top w:w="70" w:type="dxa"/>
              <w:start w:w="80" w:type="dxa"/>
              <w:bottom w:w="70" w:type="dxa"/>
              <w:end w:w="80" w:type="dxa"/>
            </w:tcMar>
            <w:vAlign w:val="top"/>
          </w:tcPr>
          <w:p>
            <w:pPr>
              <w:spacing w:after="0" w:line="240" w:lineRule="auto"/>
            </w:pPr>
            <w:r>
              <w:rPr>
                <w:rFonts w:ascii="Arial" w:hAnsi="Arial"/>
                <w:sz w:val="16"/>
              </w:rPr>
              <w:t>Project binding resolves the application and required governance metadata.</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Capability Gate</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Unsupported or disabled asset types are excluded from mutation.</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Compliance</w:t>
            </w:r>
          </w:p>
        </w:tc>
        <w:tc>
          <w:tcPr>
            <w:tcW w:type="dxa" w:w="5162"/>
            <w:tcMar>
              <w:top w:w="70" w:type="dxa"/>
              <w:start w:w="80" w:type="dxa"/>
              <w:bottom w:w="70" w:type="dxa"/>
              <w:end w:w="80" w:type="dxa"/>
            </w:tcMar>
            <w:vAlign w:val="top"/>
          </w:tcPr>
          <w:p>
            <w:pPr>
              <w:spacing w:after="0" w:line="240" w:lineRule="auto"/>
            </w:pPr>
            <w:r>
              <w:rPr>
                <w:rFonts w:ascii="Arial" w:hAnsi="Arial"/>
                <w:sz w:val="16"/>
              </w:rPr>
              <w:t>Actual metadata is compared with required values.</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Planning</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Only non-compliant resources requiring action become remediation plans.</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Execution</w:t>
            </w:r>
          </w:p>
        </w:tc>
        <w:tc>
          <w:tcPr>
            <w:tcW w:type="dxa" w:w="5162"/>
            <w:tcMar>
              <w:top w:w="70" w:type="dxa"/>
              <w:start w:w="80" w:type="dxa"/>
              <w:bottom w:w="70" w:type="dxa"/>
              <w:end w:w="80" w:type="dxa"/>
            </w:tcMar>
            <w:vAlign w:val="top"/>
          </w:tcPr>
          <w:p>
            <w:pPr>
              <w:spacing w:after="0" w:line="240" w:lineRule="auto"/>
            </w:pPr>
            <w:r>
              <w:rPr>
                <w:rFonts w:ascii="Arial" w:hAnsi="Arial"/>
                <w:sz w:val="16"/>
              </w:rPr>
              <w:t>Cloud Tasks delivers remediation batches to the authenticated worker endpoint.</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Evidence</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Execution result, status and mode are persisted for audit and reporting.</w:t>
            </w:r>
          </w:p>
        </w:tc>
      </w:tr>
    </w:tbl>
    <w:p>
      <w:pPr>
        <w:spacing w:after="20"/>
      </w:pPr>
    </w:p>
    <w:p>
      <w:pPr>
        <w:pStyle w:val="DocH2"/>
      </w:pPr>
      <w:r>
        <w:t>Runtime Controls</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3442"/>
        <w:gridCol w:w="3442"/>
        <w:gridCol w:w="3442"/>
      </w:tblGrid>
      <w:tr>
        <w:tc>
          <w:tcPr>
            <w:tcW w:type="dxa" w:w="3384"/>
            <w:shd w:fill="CFE3F2"/>
            <w:tcMar>
              <w:top w:w="70" w:type="dxa"/>
              <w:start w:w="80" w:type="dxa"/>
              <w:bottom w:w="70" w:type="dxa"/>
              <w:end w:w="80" w:type="dxa"/>
            </w:tcMar>
          </w:tcPr>
          <w:p>
            <w:pPr>
              <w:spacing w:after="0"/>
            </w:pPr>
            <w:r>
              <w:rPr>
                <w:rFonts w:ascii="Arial" w:hAnsi="Arial"/>
                <w:b/>
                <w:color w:val="214563"/>
                <w:sz w:val="16"/>
              </w:rPr>
              <w:t>Setting</w:t>
            </w:r>
          </w:p>
        </w:tc>
        <w:tc>
          <w:tcPr>
            <w:tcW w:type="dxa" w:w="1440"/>
            <w:shd w:fill="CFE3F2"/>
            <w:tcMar>
              <w:top w:w="70" w:type="dxa"/>
              <w:start w:w="80" w:type="dxa"/>
              <w:bottom w:w="70" w:type="dxa"/>
              <w:end w:w="80" w:type="dxa"/>
            </w:tcMar>
          </w:tcPr>
          <w:p>
            <w:pPr>
              <w:spacing w:after="0"/>
            </w:pPr>
            <w:r>
              <w:rPr>
                <w:rFonts w:ascii="Arial" w:hAnsi="Arial"/>
                <w:b/>
                <w:color w:val="214563"/>
                <w:sz w:val="16"/>
              </w:rPr>
              <w:t>Default</w:t>
            </w:r>
          </w:p>
        </w:tc>
        <w:tc>
          <w:tcPr>
            <w:tcW w:type="dxa" w:w="5400"/>
            <w:shd w:fill="CFE3F2"/>
            <w:tcMar>
              <w:top w:w="70" w:type="dxa"/>
              <w:start w:w="80" w:type="dxa"/>
              <w:bottom w:w="70" w:type="dxa"/>
              <w:end w:w="80" w:type="dxa"/>
            </w:tcMar>
          </w:tcPr>
          <w:p>
            <w:pPr>
              <w:spacing w:after="0"/>
            </w:pPr>
            <w:r>
              <w:rPr>
                <w:rFonts w:ascii="Arial" w:hAnsi="Arial"/>
                <w:b/>
                <w:color w:val="214563"/>
                <w:sz w:val="16"/>
              </w:rPr>
              <w:t>Purpose</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REMEDIATION_BATCH_SIZE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500</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Groups remediation actions into enterprise-scale task batches.</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MAX_PARALLEL_WORKERS</w:t>
            </w:r>
          </w:p>
        </w:tc>
        <w:tc>
          <w:tcPr>
            <w:tcW w:type="dxa" w:w="3442"/>
            <w:tcMar>
              <w:top w:w="70" w:type="dxa"/>
              <w:start w:w="80" w:type="dxa"/>
              <w:bottom w:w="70" w:type="dxa"/>
              <w:end w:w="80" w:type="dxa"/>
            </w:tcMar>
            <w:vAlign w:val="top"/>
          </w:tcPr>
          <w:p>
            <w:pPr>
              <w:spacing w:after="0" w:line="240" w:lineRule="auto"/>
            </w:pPr>
            <w:r>
              <w:rPr>
                <w:rFonts w:ascii="Arial" w:hAnsi="Arial"/>
                <w:sz w:val="16"/>
              </w:rPr>
              <w:t>10</w:t>
            </w:r>
          </w:p>
        </w:tc>
        <w:tc>
          <w:tcPr>
            <w:tcW w:type="dxa" w:w="3442"/>
            <w:tcMar>
              <w:top w:w="70" w:type="dxa"/>
              <w:start w:w="80" w:type="dxa"/>
              <w:bottom w:w="70" w:type="dxa"/>
              <w:end w:w="80" w:type="dxa"/>
            </w:tcMar>
            <w:vAlign w:val="top"/>
          </w:tcPr>
          <w:p>
            <w:pPr>
              <w:spacing w:after="0" w:line="240" w:lineRule="auto"/>
            </w:pPr>
            <w:r>
              <w:rPr>
                <w:rFonts w:ascii="Arial" w:hAnsi="Arial"/>
                <w:sz w:val="16"/>
              </w:rPr>
              <w:t>Controls application-side parallel execution.</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PRESERVE_EXISTING_LABELS</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true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Protects unrelated existing labels during reconciliation.</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DRY_RUN</w:t>
            </w:r>
          </w:p>
        </w:tc>
        <w:tc>
          <w:tcPr>
            <w:tcW w:type="dxa" w:w="3442"/>
            <w:tcMar>
              <w:top w:w="70" w:type="dxa"/>
              <w:start w:w="80" w:type="dxa"/>
              <w:bottom w:w="70" w:type="dxa"/>
              <w:end w:w="80" w:type="dxa"/>
            </w:tcMar>
            <w:vAlign w:val="top"/>
          </w:tcPr>
          <w:p>
            <w:pPr>
              <w:spacing w:after="0" w:line="240" w:lineRule="auto"/>
            </w:pPr>
            <w:r>
              <w:rPr>
                <w:rFonts w:ascii="Arial" w:hAnsi="Arial"/>
                <w:sz w:val="16"/>
              </w:rPr>
              <w:t>false</w:t>
            </w:r>
          </w:p>
        </w:tc>
        <w:tc>
          <w:tcPr>
            <w:tcW w:type="dxa" w:w="3442"/>
            <w:tcMar>
              <w:top w:w="70" w:type="dxa"/>
              <w:start w:w="80" w:type="dxa"/>
              <w:bottom w:w="70" w:type="dxa"/>
              <w:end w:w="80" w:type="dxa"/>
            </w:tcMar>
            <w:vAlign w:val="top"/>
          </w:tcPr>
          <w:p>
            <w:pPr>
              <w:spacing w:after="0" w:line="240" w:lineRule="auto"/>
            </w:pPr>
            <w:r>
              <w:rPr>
                <w:rFonts w:ascii="Arial" w:hAnsi="Arial"/>
                <w:sz w:val="16"/>
              </w:rPr>
              <w:t>Can be enabled during controlled onboarding and validation.</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EXCLUDED_PROJECTS</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Configured</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Prevents selected projects from governance processing.</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EXCLUDED_BUCKETS</w:t>
            </w:r>
          </w:p>
        </w:tc>
        <w:tc>
          <w:tcPr>
            <w:tcW w:type="dxa" w:w="3442"/>
            <w:tcMar>
              <w:top w:w="70" w:type="dxa"/>
              <w:start w:w="80" w:type="dxa"/>
              <w:bottom w:w="70" w:type="dxa"/>
              <w:end w:w="80" w:type="dxa"/>
            </w:tcMar>
            <w:vAlign w:val="top"/>
          </w:tcPr>
          <w:p>
            <w:pPr>
              <w:spacing w:after="0" w:line="240" w:lineRule="auto"/>
            </w:pPr>
            <w:r>
              <w:rPr>
                <w:rFonts w:ascii="Arial" w:hAnsi="Arial"/>
                <w:sz w:val="16"/>
              </w:rPr>
              <w:t>Configured</w:t>
            </w:r>
          </w:p>
        </w:tc>
        <w:tc>
          <w:tcPr>
            <w:tcW w:type="dxa" w:w="3442"/>
            <w:tcMar>
              <w:top w:w="70" w:type="dxa"/>
              <w:start w:w="80" w:type="dxa"/>
              <w:bottom w:w="70" w:type="dxa"/>
              <w:end w:w="80" w:type="dxa"/>
            </w:tcMar>
            <w:vAlign w:val="top"/>
          </w:tcPr>
          <w:p>
            <w:pPr>
              <w:spacing w:after="0" w:line="240" w:lineRule="auto"/>
            </w:pPr>
            <w:r>
              <w:rPr>
                <w:rFonts w:ascii="Arial" w:hAnsi="Arial"/>
                <w:sz w:val="16"/>
              </w:rPr>
              <w:t>Protects registry/platform buckets from unintended remediation.</w:t>
            </w:r>
          </w:p>
        </w:tc>
      </w:tr>
    </w:tbl>
    <w:p>
      <w:pPr>
        <w:spacing w:after="20"/>
      </w:pPr>
    </w:p>
    <w:p>
      <w:pPr>
        <w:pStyle w:val="DocH1"/>
        <w:pBdr>
          <w:bottom w:val="single" w:sz="6" w:space="2" w:color="CFE3F2"/>
        </w:pBdr>
      </w:pPr>
      <w:r>
        <w:t>4.  Greenfield Governance</w:t>
      </w:r>
    </w:p>
    <w:p>
      <w:pPr>
        <w:pStyle w:val="DocBody"/>
      </w:pPr>
      <w:r>
        <w:t>Greenfield governance is event-driven. Resource creation activity is captured from Cloud Audit Logs and routed through the organisation-level event path into the governance service. The event is normalised by a classifier before the shared capability, compliance and remediation layers are invoked.</w:t>
      </w:r>
    </w:p>
    <w:p>
      <w:pPr>
        <w:pStyle w:val="DocBody"/>
      </w:pPr>
      <w:r/>
      <w:r>
        <w:rPr>
          <w:b/>
        </w:rPr>
        <w:t>Adapter code existing in the repository does not by itself mean that a resource is Greenfield-supported.</w:t>
      </w:r>
      <w:r>
        <w:t xml:space="preserve"> A resource is enabled only after its exact creation event, routing, classifier, capability entry, adapter behaviour, IAM and retry/idempotency characteristics are validated.</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736"/>
            <w:shd w:fill="CFE3F2"/>
            <w:tcMar>
              <w:top w:w="70" w:type="dxa"/>
              <w:start w:w="80" w:type="dxa"/>
              <w:bottom w:w="70" w:type="dxa"/>
              <w:end w:w="80" w:type="dxa"/>
            </w:tcMar>
          </w:tcPr>
          <w:p>
            <w:pPr>
              <w:spacing w:after="0"/>
            </w:pPr>
            <w:r>
              <w:rPr>
                <w:rFonts w:ascii="Arial" w:hAnsi="Arial"/>
                <w:b/>
                <w:color w:val="214563"/>
                <w:sz w:val="16"/>
              </w:rPr>
              <w:t>Greenfield Gate</w:t>
            </w:r>
          </w:p>
        </w:tc>
        <w:tc>
          <w:tcPr>
            <w:tcW w:type="dxa" w:w="7488"/>
            <w:shd w:fill="CFE3F2"/>
            <w:tcMar>
              <w:top w:w="70" w:type="dxa"/>
              <w:start w:w="80" w:type="dxa"/>
              <w:bottom w:w="70" w:type="dxa"/>
              <w:end w:w="80" w:type="dxa"/>
            </w:tcMar>
          </w:tcPr>
          <w:p>
            <w:pPr>
              <w:spacing w:after="0"/>
            </w:pPr>
            <w:r>
              <w:rPr>
                <w:rFonts w:ascii="Arial" w:hAnsi="Arial"/>
                <w:b/>
                <w:color w:val="214563"/>
                <w:sz w:val="16"/>
              </w:rPr>
              <w:t>Required Validation</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Audit Event</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Exact serviceName and methodName for creation are confirmed.</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Organisation Routing</w:t>
            </w:r>
          </w:p>
        </w:tc>
        <w:tc>
          <w:tcPr>
            <w:tcW w:type="dxa" w:w="5162"/>
            <w:tcMar>
              <w:top w:w="70" w:type="dxa"/>
              <w:start w:w="80" w:type="dxa"/>
              <w:bottom w:w="70" w:type="dxa"/>
              <w:end w:w="80" w:type="dxa"/>
            </w:tcMar>
            <w:vAlign w:val="top"/>
          </w:tcPr>
          <w:p>
            <w:pPr>
              <w:spacing w:after="0" w:line="240" w:lineRule="auto"/>
            </w:pPr>
            <w:r>
              <w:rPr>
                <w:rFonts w:ascii="Arial" w:hAnsi="Arial"/>
                <w:sz w:val="16"/>
              </w:rPr>
              <w:t>Events from governed workload projects reach the central event transport path.</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Classifier</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Event resolves to the correct canonical resource and asset type.</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Capability</w:t>
            </w:r>
          </w:p>
        </w:tc>
        <w:tc>
          <w:tcPr>
            <w:tcW w:type="dxa" w:w="5162"/>
            <w:tcMar>
              <w:top w:w="70" w:type="dxa"/>
              <w:start w:w="80" w:type="dxa"/>
              <w:bottom w:w="70" w:type="dxa"/>
              <w:end w:w="80" w:type="dxa"/>
            </w:tcMar>
            <w:vAlign w:val="top"/>
          </w:tcPr>
          <w:p>
            <w:pPr>
              <w:spacing w:after="0" w:line="240" w:lineRule="auto"/>
            </w:pPr>
            <w:r>
              <w:rPr>
                <w:rFonts w:ascii="Arial" w:hAnsi="Arial"/>
                <w:sz w:val="16"/>
              </w:rPr>
              <w:t>Asset type is explicitly enabled in supported resource configuration.</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Adapter</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Live metadata read/update behaviour is tested for the target service.</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IAM</w:t>
            </w:r>
          </w:p>
        </w:tc>
        <w:tc>
          <w:tcPr>
            <w:tcW w:type="dxa" w:w="5162"/>
            <w:tcMar>
              <w:top w:w="70" w:type="dxa"/>
              <w:start w:w="80" w:type="dxa"/>
              <w:bottom w:w="70" w:type="dxa"/>
              <w:end w:w="80" w:type="dxa"/>
            </w:tcMar>
            <w:vAlign w:val="top"/>
          </w:tcPr>
          <w:p>
            <w:pPr>
              <w:spacing w:after="0" w:line="240" w:lineRule="auto"/>
            </w:pPr>
            <w:r>
              <w:rPr>
                <w:rFonts w:ascii="Arial" w:hAnsi="Arial"/>
                <w:sz w:val="16"/>
              </w:rPr>
              <w:t>Runtime service account has only required read/update permissions.</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Idempotency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Duplicate event delivery is safe and does not create destructive changes.</w:t>
            </w:r>
          </w:p>
        </w:tc>
      </w:tr>
    </w:tbl>
    <w:p>
      <w:pPr>
        <w:spacing w:after="20"/>
      </w:pPr>
    </w:p>
    <w:p>
      <w:r>
        <w:br w:type="page"/>
      </w:r>
    </w:p>
    <w:p>
      <w:pPr>
        <w:pStyle w:val="DocH1"/>
        <w:pBdr>
          <w:bottom w:val="single" w:sz="6" w:space="2" w:color="CFE3F2"/>
        </w:pBdr>
      </w:pPr>
      <w:r>
        <w:t>5.  Registry, Data and Reporting</w:t>
      </w:r>
    </w:p>
    <w:p>
      <w:pPr>
        <w:pStyle w:val="DocBody"/>
      </w:pPr>
      <w:r>
        <w:t xml:space="preserve">The </w:t>
      </w:r>
      <w:r>
        <w:rPr>
          <w:b/>
        </w:rPr>
        <w:t>Application Registry</w:t>
      </w:r>
      <w:r>
        <w:t xml:space="preserve"> is the metadata source of truth. Application ownership and governance values are stored as YAML in Cloud Storage and validated against the registry schema before promotion. Runtime caching reduces repeated registry reads.</w:t>
      </w:r>
    </w:p>
    <w:p>
      <w:pPr>
        <w:pStyle w:val="DocBody"/>
      </w:pPr>
      <w:r>
        <w:t>Typical attributes include product, team, owner, budget owner, organisation, department and cost centre. GCP bindings identify project, region, environment and business criticality.</w:t>
      </w:r>
    </w:p>
    <w:p>
      <w:pPr>
        <w:pStyle w:val="DocH2"/>
      </w:pPr>
      <w:r>
        <w:t>BigQuery Governance Data</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Object</w:t>
            </w:r>
          </w:p>
        </w:tc>
        <w:tc>
          <w:tcPr>
            <w:tcW w:type="dxa" w:w="7344"/>
            <w:shd w:fill="CFE3F2"/>
            <w:tcMar>
              <w:top w:w="70" w:type="dxa"/>
              <w:start w:w="80" w:type="dxa"/>
              <w:bottom w:w="70" w:type="dxa"/>
              <w:end w:w="80" w:type="dxa"/>
            </w:tcMar>
          </w:tcPr>
          <w:p>
            <w:pPr>
              <w:spacing w:after="0"/>
            </w:pPr>
            <w:r>
              <w:rPr>
                <w:rFonts w:ascii="Arial" w:hAnsi="Arial"/>
                <w:b/>
                <w:color w:val="214563"/>
                <w:sz w:val="16"/>
              </w:rPr>
              <w:t>Purpose</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resource_snapshot</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Discovered inventory and resource metadata snapshot.</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compliance_snapshot</w:t>
            </w:r>
          </w:p>
        </w:tc>
        <w:tc>
          <w:tcPr>
            <w:tcW w:type="dxa" w:w="5162"/>
            <w:tcMar>
              <w:top w:w="70" w:type="dxa"/>
              <w:start w:w="80" w:type="dxa"/>
              <w:bottom w:w="70" w:type="dxa"/>
              <w:end w:w="80" w:type="dxa"/>
            </w:tcMar>
            <w:vAlign w:val="top"/>
          </w:tcPr>
          <w:p>
            <w:pPr>
              <w:spacing w:after="0" w:line="240" w:lineRule="auto"/>
            </w:pPr>
            <w:r>
              <w:rPr>
                <w:rFonts w:ascii="Arial" w:hAnsi="Arial"/>
                <w:sz w:val="16"/>
              </w:rPr>
              <w:t>Point-in-time compliance evaluation evidence.</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remediation_plan</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Planned changes generated for a governance run.</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remediation_execution</w:t>
            </w:r>
          </w:p>
        </w:tc>
        <w:tc>
          <w:tcPr>
            <w:tcW w:type="dxa" w:w="5162"/>
            <w:tcMar>
              <w:top w:w="70" w:type="dxa"/>
              <w:start w:w="80" w:type="dxa"/>
              <w:bottom w:w="70" w:type="dxa"/>
              <w:end w:w="80" w:type="dxa"/>
            </w:tcMar>
            <w:vAlign w:val="top"/>
          </w:tcPr>
          <w:p>
            <w:pPr>
              <w:spacing w:after="0" w:line="240" w:lineRule="auto"/>
            </w:pPr>
            <w:r>
              <w:rPr>
                <w:rFonts w:ascii="Arial" w:hAnsi="Arial"/>
                <w:sz w:val="16"/>
              </w:rPr>
              <w:t>Execution status, evidence and BROWNFIELD/GREENFIELD execution mode.</w:t>
            </w:r>
          </w:p>
        </w:tc>
      </w:tr>
    </w:tbl>
    <w:p>
      <w:pPr>
        <w:spacing w:after="20"/>
      </w:pPr>
    </w:p>
    <w:p>
      <w:pPr>
        <w:pStyle w:val="DocH2"/>
      </w:pPr>
      <w:r>
        <w:t>Dashboard and Reporting</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View</w:t>
            </w:r>
          </w:p>
        </w:tc>
        <w:tc>
          <w:tcPr>
            <w:tcW w:type="dxa" w:w="7344"/>
            <w:shd w:fill="CFE3F2"/>
            <w:tcMar>
              <w:top w:w="70" w:type="dxa"/>
              <w:start w:w="80" w:type="dxa"/>
              <w:bottom w:w="70" w:type="dxa"/>
              <w:end w:w="80" w:type="dxa"/>
            </w:tcMar>
          </w:tcPr>
          <w:p>
            <w:pPr>
              <w:spacing w:after="0"/>
            </w:pPr>
            <w:r>
              <w:rPr>
                <w:rFonts w:ascii="Arial" w:hAnsi="Arial"/>
                <w:b/>
                <w:color w:val="214563"/>
                <w:sz w:val="16"/>
              </w:rPr>
              <w:t>Purpose</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Executive Summary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Estate size, supported resources, compliance and overall governance position.</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Brownfield Summary</w:t>
            </w:r>
          </w:p>
        </w:tc>
        <w:tc>
          <w:tcPr>
            <w:tcW w:type="dxa" w:w="5162"/>
            <w:tcMar>
              <w:top w:w="70" w:type="dxa"/>
              <w:start w:w="80" w:type="dxa"/>
              <w:bottom w:w="70" w:type="dxa"/>
              <w:end w:w="80" w:type="dxa"/>
            </w:tcMar>
            <w:vAlign w:val="top"/>
          </w:tcPr>
          <w:p>
            <w:pPr>
              <w:spacing w:after="0" w:line="240" w:lineRule="auto"/>
            </w:pPr>
            <w:r>
              <w:rPr>
                <w:rFonts w:ascii="Arial" w:hAnsi="Arial"/>
                <w:sz w:val="16"/>
              </w:rPr>
              <w:t>Planned, completed, remaining and failed remediation.</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Greenfield Summary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Events, successful/failed processing and recent activity.</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Project View</w:t>
            </w:r>
          </w:p>
        </w:tc>
        <w:tc>
          <w:tcPr>
            <w:tcW w:type="dxa" w:w="5162"/>
            <w:tcMar>
              <w:top w:w="70" w:type="dxa"/>
              <w:start w:w="80" w:type="dxa"/>
              <w:bottom w:w="70" w:type="dxa"/>
              <w:end w:w="80" w:type="dxa"/>
            </w:tcMar>
            <w:vAlign w:val="top"/>
          </w:tcPr>
          <w:p>
            <w:pPr>
              <w:spacing w:after="0" w:line="240" w:lineRule="auto"/>
            </w:pPr>
            <w:r>
              <w:rPr>
                <w:rFonts w:ascii="Arial" w:hAnsi="Arial"/>
                <w:sz w:val="16"/>
              </w:rPr>
              <w:t>Compliance breakdown by governed project.</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Resource Type View</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Compliance by supported GCP resource family.</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Recent Runs</w:t>
            </w:r>
          </w:p>
        </w:tc>
        <w:tc>
          <w:tcPr>
            <w:tcW w:type="dxa" w:w="5162"/>
            <w:tcMar>
              <w:top w:w="70" w:type="dxa"/>
              <w:start w:w="80" w:type="dxa"/>
              <w:bottom w:w="70" w:type="dxa"/>
              <w:end w:w="80" w:type="dxa"/>
            </w:tcMar>
            <w:vAlign w:val="top"/>
          </w:tcPr>
          <w:p>
            <w:pPr>
              <w:spacing w:after="0" w:line="240" w:lineRule="auto"/>
            </w:pPr>
            <w:r>
              <w:rPr>
                <w:rFonts w:ascii="Arial" w:hAnsi="Arial"/>
                <w:sz w:val="16"/>
              </w:rPr>
              <w:t>Operational execution history.</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Top Non-Compliant Resources</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Prioritised resources with missing or incorrect governance metadata.</w:t>
            </w:r>
          </w:p>
        </w:tc>
      </w:tr>
    </w:tbl>
    <w:p>
      <w:pPr>
        <w:spacing w:after="20"/>
      </w:pPr>
    </w:p>
    <w:p>
      <w:pPr>
        <w:pStyle w:val="DocH1"/>
        <w:pBdr>
          <w:bottom w:val="single" w:sz="6" w:space="2" w:color="CFE3F2"/>
        </w:pBdr>
      </w:pPr>
      <w:r>
        <w:t>6.  Resource Capability Model</w:t>
      </w:r>
    </w:p>
    <w:p>
      <w:pPr>
        <w:pStyle w:val="DocBody"/>
      </w:pPr>
      <w:r>
        <w:t>Runtime enablement is centrally controlled by the supported-resource configuration. This separation matters because the repository can contain clients or adapters that are under development, disabled or unsuitable for labels.</w:t>
      </w:r>
    </w:p>
    <w:p>
      <w:pPr>
        <w:pStyle w:val="DocBody"/>
      </w:pPr>
      <w:r>
        <w:t>The repository contains integration code for multiple GCP service families, including Compute Engine, BigQuery, Cloud Storage, Resource Manager, Cloud KMS, Pub/Sub, GKE, Cloud Run, Cloud SQL, Artifact Registry, Cloud Functions, Vertex AI, Dataplex, App Engine, Redis, Secret Manager, Monitoring, Dataform, DNS, AlloyDB and API Keys.</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Rule</w:t>
            </w:r>
          </w:p>
        </w:tc>
        <w:tc>
          <w:tcPr>
            <w:tcW w:type="dxa" w:w="7344"/>
            <w:shd w:fill="CFE3F2"/>
            <w:tcMar>
              <w:top w:w="70" w:type="dxa"/>
              <w:start w:w="80" w:type="dxa"/>
              <w:bottom w:w="70" w:type="dxa"/>
              <w:end w:w="80" w:type="dxa"/>
            </w:tcMar>
          </w:tcPr>
          <w:p>
            <w:pPr>
              <w:spacing w:after="0"/>
            </w:pPr>
            <w:r>
              <w:rPr>
                <w:rFonts w:ascii="Arial" w:hAnsi="Arial"/>
                <w:b/>
                <w:color w:val="214563"/>
                <w:sz w:val="16"/>
              </w:rPr>
              <w:t>Requirement</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Code Presence != Support</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An adapter/client in the repository is not sufficient evidence of production support.</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Explicit Enablement</w:t>
            </w:r>
          </w:p>
        </w:tc>
        <w:tc>
          <w:tcPr>
            <w:tcW w:type="dxa" w:w="5162"/>
            <w:tcMar>
              <w:top w:w="70" w:type="dxa"/>
              <w:start w:w="80" w:type="dxa"/>
              <w:bottom w:w="70" w:type="dxa"/>
              <w:end w:w="80" w:type="dxa"/>
            </w:tcMar>
            <w:vAlign w:val="top"/>
          </w:tcPr>
          <w:p>
            <w:pPr>
              <w:spacing w:after="0" w:line="240" w:lineRule="auto"/>
            </w:pPr>
            <w:r>
              <w:rPr>
                <w:rFonts w:ascii="Arial" w:hAnsi="Arial"/>
                <w:sz w:val="16"/>
              </w:rPr>
              <w:t>The asset type must be present in the active label/tag capability set.</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Test Before Promotion</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Brownfield and, where applicable, Greenfield behaviour must be validated in platform-metadata-dev.</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IAM Follows Capability</w:t>
            </w:r>
          </w:p>
        </w:tc>
        <w:tc>
          <w:tcPr>
            <w:tcW w:type="dxa" w:w="5162"/>
            <w:tcMar>
              <w:top w:w="70" w:type="dxa"/>
              <w:start w:w="80" w:type="dxa"/>
              <w:bottom w:w="70" w:type="dxa"/>
              <w:end w:w="80" w:type="dxa"/>
            </w:tcMar>
            <w:vAlign w:val="top"/>
          </w:tcPr>
          <w:p>
            <w:pPr>
              <w:spacing w:after="0" w:line="240" w:lineRule="auto"/>
            </w:pPr>
            <w:r>
              <w:rPr>
                <w:rFonts w:ascii="Arial" w:hAnsi="Arial"/>
                <w:sz w:val="16"/>
              </w:rPr>
              <w:t>Permissions are granted for enabled resource types rather than every candidate integration.</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Tags Separate from Labels</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Resource Manager Tag capability is governed independently from service label capability.</w:t>
            </w:r>
          </w:p>
        </w:tc>
      </w:tr>
    </w:tbl>
    <w:p>
      <w:pPr>
        <w:spacing w:after="20"/>
      </w:pPr>
    </w:p>
    <w:p>
      <w:pPr>
        <w:pStyle w:val="DocH1"/>
        <w:pBdr>
          <w:bottom w:val="single" w:sz="6" w:space="2" w:color="CFE3F2"/>
        </w:pBdr>
      </w:pPr>
      <w:r>
        <w:t>7.  Dedicated Project and Environment Model</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3442"/>
        <w:gridCol w:w="3442"/>
        <w:gridCol w:w="3442"/>
      </w:tblGrid>
      <w:tr>
        <w:tc>
          <w:tcPr>
            <w:tcW w:type="dxa" w:w="2232"/>
            <w:shd w:fill="CFE3F2"/>
            <w:tcMar>
              <w:top w:w="70" w:type="dxa"/>
              <w:start w:w="80" w:type="dxa"/>
              <w:bottom w:w="70" w:type="dxa"/>
              <w:end w:w="80" w:type="dxa"/>
            </w:tcMar>
          </w:tcPr>
          <w:p>
            <w:pPr>
              <w:spacing w:after="0"/>
            </w:pPr>
            <w:r>
              <w:rPr>
                <w:rFonts w:ascii="Arial" w:hAnsi="Arial"/>
                <w:b/>
                <w:color w:val="214563"/>
                <w:sz w:val="16"/>
              </w:rPr>
              <w:t>Area</w:t>
            </w:r>
          </w:p>
        </w:tc>
        <w:tc>
          <w:tcPr>
            <w:tcW w:type="dxa" w:w="3960"/>
            <w:shd w:fill="CFE3F2"/>
            <w:tcMar>
              <w:top w:w="70" w:type="dxa"/>
              <w:start w:w="80" w:type="dxa"/>
              <w:bottom w:w="70" w:type="dxa"/>
              <w:end w:w="80" w:type="dxa"/>
            </w:tcMar>
          </w:tcPr>
          <w:p>
            <w:pPr>
              <w:spacing w:after="0"/>
            </w:pPr>
            <w:r>
              <w:rPr>
                <w:rFonts w:ascii="Arial" w:hAnsi="Arial"/>
                <w:b/>
                <w:color w:val="214563"/>
                <w:sz w:val="16"/>
              </w:rPr>
              <w:t>platform-metadata-dev</w:t>
            </w:r>
          </w:p>
        </w:tc>
        <w:tc>
          <w:tcPr>
            <w:tcW w:type="dxa" w:w="4032"/>
            <w:shd w:fill="CFE3F2"/>
            <w:tcMar>
              <w:top w:w="70" w:type="dxa"/>
              <w:start w:w="80" w:type="dxa"/>
              <w:bottom w:w="70" w:type="dxa"/>
              <w:end w:w="80" w:type="dxa"/>
            </w:tcMar>
          </w:tcPr>
          <w:p>
            <w:pPr>
              <w:spacing w:after="0"/>
            </w:pPr>
            <w:r>
              <w:rPr>
                <w:rFonts w:ascii="Arial" w:hAnsi="Arial"/>
                <w:b/>
                <w:color w:val="214563"/>
                <w:sz w:val="16"/>
              </w:rPr>
              <w:t>platform-metadata-prod</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Purpose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Development, integration, adapter/event testing and controlled scale validation</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Production organisation-wide metadata governance</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Runtime Identity</w:t>
            </w:r>
          </w:p>
        </w:tc>
        <w:tc>
          <w:tcPr>
            <w:tcW w:type="dxa" w:w="3442"/>
            <w:tcMar>
              <w:top w:w="70" w:type="dxa"/>
              <w:start w:w="80" w:type="dxa"/>
              <w:bottom w:w="70" w:type="dxa"/>
              <w:end w:w="80" w:type="dxa"/>
            </w:tcMar>
            <w:vAlign w:val="top"/>
          </w:tcPr>
          <w:p>
            <w:pPr>
              <w:spacing w:after="0" w:line="240" w:lineRule="auto"/>
            </w:pPr>
            <w:r>
              <w:rPr>
                <w:rFonts w:ascii="Arial" w:hAnsi="Arial"/>
                <w:sz w:val="16"/>
              </w:rPr>
              <w:t>Dedicated DEV service account</w:t>
            </w:r>
          </w:p>
        </w:tc>
        <w:tc>
          <w:tcPr>
            <w:tcW w:type="dxa" w:w="3442"/>
            <w:tcMar>
              <w:top w:w="70" w:type="dxa"/>
              <w:start w:w="80" w:type="dxa"/>
              <w:bottom w:w="70" w:type="dxa"/>
              <w:end w:w="80" w:type="dxa"/>
            </w:tcMar>
            <w:vAlign w:val="top"/>
          </w:tcPr>
          <w:p>
            <w:pPr>
              <w:spacing w:after="0" w:line="240" w:lineRule="auto"/>
            </w:pPr>
            <w:r>
              <w:rPr>
                <w:rFonts w:ascii="Arial" w:hAnsi="Arial"/>
                <w:sz w:val="16"/>
              </w:rPr>
              <w:t>Dedicated PROD service account</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Registry</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DEV registry/configuration</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Production-approved registry/configuration</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BigQuery</w:t>
            </w:r>
          </w:p>
        </w:tc>
        <w:tc>
          <w:tcPr>
            <w:tcW w:type="dxa" w:w="3442"/>
            <w:tcMar>
              <w:top w:w="70" w:type="dxa"/>
              <w:start w:w="80" w:type="dxa"/>
              <w:bottom w:w="70" w:type="dxa"/>
              <w:end w:w="80" w:type="dxa"/>
            </w:tcMar>
            <w:vAlign w:val="top"/>
          </w:tcPr>
          <w:p>
            <w:pPr>
              <w:spacing w:after="0" w:line="240" w:lineRule="auto"/>
            </w:pPr>
            <w:r>
              <w:rPr>
                <w:rFonts w:ascii="Arial" w:hAnsi="Arial"/>
                <w:sz w:val="16"/>
              </w:rPr>
              <w:t>DEV governance dataset</w:t>
            </w:r>
          </w:p>
        </w:tc>
        <w:tc>
          <w:tcPr>
            <w:tcW w:type="dxa" w:w="3442"/>
            <w:tcMar>
              <w:top w:w="70" w:type="dxa"/>
              <w:start w:w="80" w:type="dxa"/>
              <w:bottom w:w="70" w:type="dxa"/>
              <w:end w:w="80" w:type="dxa"/>
            </w:tcMar>
            <w:vAlign w:val="top"/>
          </w:tcPr>
          <w:p>
            <w:pPr>
              <w:spacing w:after="0" w:line="240" w:lineRule="auto"/>
            </w:pPr>
            <w:r>
              <w:rPr>
                <w:rFonts w:ascii="Arial" w:hAnsi="Arial"/>
                <w:sz w:val="16"/>
              </w:rPr>
              <w:t>Production governance/audit dataset</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Event / Queue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DEV-specific</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PROD-specific</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Access Boundary</w:t>
            </w:r>
          </w:p>
        </w:tc>
        <w:tc>
          <w:tcPr>
            <w:tcW w:type="dxa" w:w="3442"/>
            <w:tcMar>
              <w:top w:w="70" w:type="dxa"/>
              <w:start w:w="80" w:type="dxa"/>
              <w:bottom w:w="70" w:type="dxa"/>
              <w:end w:w="80" w:type="dxa"/>
            </w:tcMar>
            <w:vAlign w:val="top"/>
          </w:tcPr>
          <w:p>
            <w:pPr>
              <w:spacing w:after="0" w:line="240" w:lineRule="auto"/>
            </w:pPr>
            <w:r>
              <w:rPr>
                <w:rFonts w:ascii="Arial" w:hAnsi="Arial"/>
                <w:sz w:val="16"/>
              </w:rPr>
              <w:t>Must not unintentionally remediate PROD workloads</w:t>
            </w:r>
          </w:p>
        </w:tc>
        <w:tc>
          <w:tcPr>
            <w:tcW w:type="dxa" w:w="3442"/>
            <w:tcMar>
              <w:top w:w="70" w:type="dxa"/>
              <w:start w:w="80" w:type="dxa"/>
              <w:bottom w:w="70" w:type="dxa"/>
              <w:end w:w="80" w:type="dxa"/>
            </w:tcMar>
            <w:vAlign w:val="top"/>
          </w:tcPr>
          <w:p>
            <w:pPr>
              <w:spacing w:after="0" w:line="240" w:lineRule="auto"/>
            </w:pPr>
            <w:r>
              <w:rPr>
                <w:rFonts w:ascii="Arial" w:hAnsi="Arial"/>
                <w:sz w:val="16"/>
              </w:rPr>
              <w:t>Independent production trust boundary</w:t>
            </w:r>
          </w:p>
        </w:tc>
      </w:tr>
    </w:tbl>
    <w:p>
      <w:pPr>
        <w:spacing w:after="20"/>
      </w:pPr>
    </w:p>
    <w:p>
      <w:r>
        <w:br w:type="page"/>
      </w:r>
    </w:p>
    <w:p>
      <w:pPr>
        <w:pStyle w:val="DocH1"/>
        <w:pBdr>
          <w:bottom w:val="single" w:sz="6" w:space="2" w:color="CFE3F2"/>
        </w:pBdr>
      </w:pPr>
      <w:r>
        <w:t>8.  IAM and Security Model</w:t>
      </w:r>
    </w:p>
    <w:p>
      <w:pPr>
        <w:pStyle w:val="DocBody"/>
      </w:pPr>
      <w:r>
        <w:t xml:space="preserve">The governance runtime uses a dedicated service account and follows least privilege. The final client custom role should be generated from the </w:t>
      </w:r>
      <w:r>
        <w:rPr>
          <w:b/>
        </w:rPr>
        <w:t>resource capabilities actually enabled for production</w:t>
      </w:r>
      <w:r>
        <w:t>, not simply from every API client present in the repository.</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3024"/>
            <w:shd w:fill="CFE3F2"/>
            <w:tcMar>
              <w:top w:w="70" w:type="dxa"/>
              <w:start w:w="80" w:type="dxa"/>
              <w:bottom w:w="70" w:type="dxa"/>
              <w:end w:w="80" w:type="dxa"/>
            </w:tcMar>
          </w:tcPr>
          <w:p>
            <w:pPr>
              <w:spacing w:after="0"/>
            </w:pPr>
            <w:r>
              <w:rPr>
                <w:rFonts w:ascii="Arial" w:hAnsi="Arial"/>
                <w:b/>
                <w:color w:val="214563"/>
                <w:sz w:val="16"/>
              </w:rPr>
              <w:t>Category</w:t>
            </w:r>
          </w:p>
        </w:tc>
        <w:tc>
          <w:tcPr>
            <w:tcW w:type="dxa" w:w="7200"/>
            <w:shd w:fill="CFE3F2"/>
            <w:tcMar>
              <w:top w:w="70" w:type="dxa"/>
              <w:start w:w="80" w:type="dxa"/>
              <w:bottom w:w="70" w:type="dxa"/>
              <w:end w:w="80" w:type="dxa"/>
            </w:tcMar>
          </w:tcPr>
          <w:p>
            <w:pPr>
              <w:spacing w:after="0"/>
            </w:pPr>
            <w:r>
              <w:rPr>
                <w:rFonts w:ascii="Arial" w:hAnsi="Arial"/>
                <w:b/>
                <w:color w:val="214563"/>
                <w:sz w:val="16"/>
              </w:rPr>
              <w:t>Required Access</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Organisation / Project Discovery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Read access required to enumerate authorised target projects and resolve project metadata.</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Cloud Asset Inventory</w:t>
            </w:r>
          </w:p>
        </w:tc>
        <w:tc>
          <w:tcPr>
            <w:tcW w:type="dxa" w:w="5162"/>
            <w:tcMar>
              <w:top w:w="70" w:type="dxa"/>
              <w:start w:w="80" w:type="dxa"/>
              <w:bottom w:w="70" w:type="dxa"/>
              <w:end w:w="80" w:type="dxa"/>
            </w:tcMar>
            <w:vAlign w:val="top"/>
          </w:tcPr>
          <w:p>
            <w:pPr>
              <w:spacing w:after="0" w:line="240" w:lineRule="auto"/>
            </w:pPr>
            <w:r>
              <w:rPr>
                <w:rFonts w:ascii="Arial" w:hAnsi="Arial"/>
                <w:sz w:val="16"/>
              </w:rPr>
              <w:t>Read/search access required for Brownfield resource discovery.</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Registry</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Read access to approved Cloud Storage registry objects.</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BigQuery</w:t>
            </w:r>
          </w:p>
        </w:tc>
        <w:tc>
          <w:tcPr>
            <w:tcW w:type="dxa" w:w="5162"/>
            <w:tcMar>
              <w:top w:w="70" w:type="dxa"/>
              <w:start w:w="80" w:type="dxa"/>
              <w:bottom w:w="70" w:type="dxa"/>
              <w:end w:w="80" w:type="dxa"/>
            </w:tcMar>
            <w:vAlign w:val="top"/>
          </w:tcPr>
          <w:p>
            <w:pPr>
              <w:spacing w:after="0" w:line="240" w:lineRule="auto"/>
            </w:pPr>
            <w:r>
              <w:rPr>
                <w:rFonts w:ascii="Arial" w:hAnsi="Arial"/>
                <w:sz w:val="16"/>
              </w:rPr>
              <w:t>Dataset/table access required for governance evidence and reporting.</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Cloud Tasks</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Permission to enqueue remediation batches and authenticated invocation for the worker path.</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Resource Metadata</w:t>
            </w:r>
          </w:p>
        </w:tc>
        <w:tc>
          <w:tcPr>
            <w:tcW w:type="dxa" w:w="5162"/>
            <w:tcMar>
              <w:top w:w="70" w:type="dxa"/>
              <w:start w:w="80" w:type="dxa"/>
              <w:bottom w:w="70" w:type="dxa"/>
              <w:end w:w="80" w:type="dxa"/>
            </w:tcMar>
            <w:vAlign w:val="top"/>
          </w:tcPr>
          <w:p>
            <w:pPr>
              <w:spacing w:after="0" w:line="240" w:lineRule="auto"/>
            </w:pPr>
            <w:r>
              <w:rPr>
                <w:rFonts w:ascii="Arial" w:hAnsi="Arial"/>
                <w:sz w:val="16"/>
              </w:rPr>
              <w:t>Service-specific read/update permissions only for enabled adapters.</w:t>
            </w:r>
          </w:p>
        </w:tc>
      </w:tr>
      <w:tr>
        <w:tc>
          <w:tcPr>
            <w:tcW w:type="dxa" w:w="5162"/>
            <w:tcMar>
              <w:top w:w="70" w:type="dxa"/>
              <w:start w:w="80" w:type="dxa"/>
              <w:bottom w:w="70" w:type="dxa"/>
              <w:end w:w="80" w:type="dxa"/>
            </w:tcMar>
            <w:vAlign w:val="top"/>
            <w:shd w:fill="EDF4F8"/>
          </w:tcPr>
          <w:p>
            <w:pPr>
              <w:spacing w:after="0" w:line="240" w:lineRule="auto"/>
            </w:pPr>
            <w:r>
              <w:rPr>
                <w:rFonts w:ascii="Arial" w:hAnsi="Arial"/>
                <w:b/>
                <w:sz w:val="16"/>
              </w:rPr>
              <w:t>Resource Manager Tags</w:t>
            </w:r>
          </w:p>
        </w:tc>
        <w:tc>
          <w:tcPr>
            <w:tcW w:type="dxa" w:w="5162"/>
            <w:tcMar>
              <w:top w:w="70" w:type="dxa"/>
              <w:start w:w="80" w:type="dxa"/>
              <w:bottom w:w="70" w:type="dxa"/>
              <w:end w:w="80" w:type="dxa"/>
            </w:tcMar>
            <w:vAlign w:val="top"/>
            <w:shd w:fill="EDF4F8"/>
          </w:tcPr>
          <w:p>
            <w:pPr>
              <w:spacing w:after="0" w:line="240" w:lineRule="auto"/>
            </w:pPr>
            <w:r>
              <w:rPr>
                <w:rFonts w:ascii="Arial" w:hAnsi="Arial"/>
                <w:sz w:val="16"/>
              </w:rPr>
              <w:t>Tag permissions only when Tag governance is explicitly enabled.</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Dashboard</w:t>
            </w:r>
          </w:p>
        </w:tc>
        <w:tc>
          <w:tcPr>
            <w:tcW w:type="dxa" w:w="5162"/>
            <w:tcMar>
              <w:top w:w="70" w:type="dxa"/>
              <w:start w:w="80" w:type="dxa"/>
              <w:bottom w:w="70" w:type="dxa"/>
              <w:end w:w="80" w:type="dxa"/>
            </w:tcMar>
            <w:vAlign w:val="top"/>
          </w:tcPr>
          <w:p>
            <w:pPr>
              <w:spacing w:after="0" w:line="240" w:lineRule="auto"/>
            </w:pPr>
            <w:r>
              <w:rPr>
                <w:rFonts w:ascii="Arial" w:hAnsi="Arial"/>
                <w:sz w:val="16"/>
              </w:rPr>
              <w:t>Restricted to authorised organisation users; operational worker endpoints remain service-to-service.</w:t>
            </w:r>
          </w:p>
        </w:tc>
      </w:tr>
    </w:tbl>
    <w:p>
      <w:pPr>
        <w:spacing w:after="20"/>
      </w:pPr>
    </w:p>
    <w:p>
      <w:pPr>
        <w:pStyle w:val="DocH1"/>
        <w:pBdr>
          <w:bottom w:val="single" w:sz="6" w:space="2" w:color="CFE3F2"/>
        </w:pBdr>
      </w:pPr>
      <w:r>
        <w:t>9.  Approach Comparison</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3442"/>
        <w:gridCol w:w="3442"/>
        <w:gridCol w:w="3442"/>
      </w:tblGrid>
      <w:tr>
        <w:tc>
          <w:tcPr>
            <w:tcW w:type="dxa" w:w="2520"/>
            <w:shd w:fill="CFE3F2"/>
            <w:tcMar>
              <w:top w:w="70" w:type="dxa"/>
              <w:start w:w="80" w:type="dxa"/>
              <w:bottom w:w="70" w:type="dxa"/>
              <w:end w:w="80" w:type="dxa"/>
            </w:tcMar>
          </w:tcPr>
          <w:p>
            <w:pPr>
              <w:spacing w:after="0"/>
            </w:pPr>
            <w:r>
              <w:rPr>
                <w:rFonts w:ascii="Arial" w:hAnsi="Arial"/>
                <w:b/>
                <w:color w:val="214563"/>
                <w:sz w:val="16"/>
              </w:rPr>
              <w:t>Criteria</w:t>
            </w:r>
          </w:p>
        </w:tc>
        <w:tc>
          <w:tcPr>
            <w:tcW w:type="dxa" w:w="3672"/>
            <w:shd w:fill="CFE3F2"/>
            <w:tcMar>
              <w:top w:w="70" w:type="dxa"/>
              <w:start w:w="80" w:type="dxa"/>
              <w:bottom w:w="70" w:type="dxa"/>
              <w:end w:w="80" w:type="dxa"/>
            </w:tcMar>
          </w:tcPr>
          <w:p>
            <w:pPr>
              <w:spacing w:after="0"/>
            </w:pPr>
            <w:r>
              <w:rPr>
                <w:rFonts w:ascii="Arial" w:hAnsi="Arial"/>
                <w:b/>
                <w:color w:val="214563"/>
                <w:sz w:val="16"/>
              </w:rPr>
              <w:t>Earlier Native-Only Business Case</w:t>
            </w:r>
          </w:p>
        </w:tc>
        <w:tc>
          <w:tcPr>
            <w:tcW w:type="dxa" w:w="4032"/>
            <w:shd w:fill="CFE3F2"/>
            <w:tcMar>
              <w:top w:w="70" w:type="dxa"/>
              <w:start w:w="80" w:type="dxa"/>
              <w:bottom w:w="70" w:type="dxa"/>
              <w:end w:w="80" w:type="dxa"/>
            </w:tcMar>
          </w:tcPr>
          <w:p>
            <w:pPr>
              <w:spacing w:after="0"/>
            </w:pPr>
            <w:r>
              <w:rPr>
                <w:rFonts w:ascii="Arial" w:hAnsi="Arial"/>
                <w:b/>
                <w:color w:val="214563"/>
                <w:sz w:val="16"/>
              </w:rPr>
              <w:t>Current Enterprise Platform</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Runtime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No application runtime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Modular Cloud Run governance engine</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Brownfield Detection</w:t>
            </w:r>
          </w:p>
        </w:tc>
        <w:tc>
          <w:tcPr>
            <w:tcW w:type="dxa" w:w="3442"/>
            <w:tcMar>
              <w:top w:w="70" w:type="dxa"/>
              <w:start w:w="80" w:type="dxa"/>
              <w:bottom w:w="70" w:type="dxa"/>
              <w:end w:w="80" w:type="dxa"/>
            </w:tcMar>
            <w:vAlign w:val="top"/>
          </w:tcPr>
          <w:p>
            <w:pPr>
              <w:spacing w:after="0" w:line="240" w:lineRule="auto"/>
            </w:pPr>
            <w:r>
              <w:rPr>
                <w:rFonts w:ascii="Arial" w:hAnsi="Arial"/>
                <w:sz w:val="16"/>
              </w:rPr>
              <w:t>CAI export + BigQuery SQL</w:t>
            </w:r>
          </w:p>
        </w:tc>
        <w:tc>
          <w:tcPr>
            <w:tcW w:type="dxa" w:w="3442"/>
            <w:tcMar>
              <w:top w:w="70" w:type="dxa"/>
              <w:start w:w="80" w:type="dxa"/>
              <w:bottom w:w="70" w:type="dxa"/>
              <w:end w:w="80" w:type="dxa"/>
            </w:tcMar>
            <w:vAlign w:val="top"/>
          </w:tcPr>
          <w:p>
            <w:pPr>
              <w:spacing w:after="0" w:line="240" w:lineRule="auto"/>
            </w:pPr>
            <w:r>
              <w:rPr>
                <w:rFonts w:ascii="Arial" w:hAnsi="Arial"/>
                <w:sz w:val="16"/>
              </w:rPr>
              <w:t>CAI discovery + live metadata enrichment + compliance engine</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Brownfield Remediation</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Terraform/gcloud operational workflow</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Planner + Cloud Tasks + worker + service-specific adapters</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Greenfield</w:t>
            </w:r>
          </w:p>
        </w:tc>
        <w:tc>
          <w:tcPr>
            <w:tcW w:type="dxa" w:w="3442"/>
            <w:tcMar>
              <w:top w:w="70" w:type="dxa"/>
              <w:start w:w="80" w:type="dxa"/>
              <w:bottom w:w="70" w:type="dxa"/>
              <w:end w:w="80" w:type="dxa"/>
            </w:tcMar>
            <w:vAlign w:val="top"/>
          </w:tcPr>
          <w:p>
            <w:pPr>
              <w:spacing w:after="0" w:line="240" w:lineRule="auto"/>
            </w:pPr>
            <w:r>
              <w:rPr>
                <w:rFonts w:ascii="Arial" w:hAnsi="Arial"/>
                <w:sz w:val="16"/>
              </w:rPr>
              <w:t>Terraform + Organisation Policy prevention</w:t>
            </w:r>
          </w:p>
        </w:tc>
        <w:tc>
          <w:tcPr>
            <w:tcW w:type="dxa" w:w="3442"/>
            <w:tcMar>
              <w:top w:w="70" w:type="dxa"/>
              <w:start w:w="80" w:type="dxa"/>
              <w:bottom w:w="70" w:type="dxa"/>
              <w:end w:w="80" w:type="dxa"/>
            </w:tcMar>
            <w:vAlign w:val="top"/>
          </w:tcPr>
          <w:p>
            <w:pPr>
              <w:spacing w:after="0" w:line="240" w:lineRule="auto"/>
            </w:pPr>
            <w:r>
              <w:rPr>
                <w:rFonts w:ascii="Arial" w:hAnsi="Arial"/>
                <w:sz w:val="16"/>
              </w:rPr>
              <w:t>Near-real-time audit-event-driven detection and remediation</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Registry</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Application Registry used as value source</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Validated YAML source of truth loaded dynamically from Cloud Storage</w:t>
            </w:r>
          </w:p>
        </w:tc>
      </w:tr>
      <w:tr>
        <w:tc>
          <w:tcPr>
            <w:tcW w:type="dxa" w:w="3442"/>
            <w:tcMar>
              <w:top w:w="70" w:type="dxa"/>
              <w:start w:w="80" w:type="dxa"/>
              <w:bottom w:w="70" w:type="dxa"/>
              <w:end w:w="80" w:type="dxa"/>
            </w:tcMar>
            <w:vAlign w:val="top"/>
          </w:tcPr>
          <w:p>
            <w:pPr>
              <w:spacing w:after="0" w:line="240" w:lineRule="auto"/>
            </w:pPr>
            <w:r>
              <w:rPr>
                <w:rFonts w:ascii="Arial" w:hAnsi="Arial"/>
                <w:b/>
                <w:sz w:val="16"/>
              </w:rPr>
              <w:t>Reporting</w:t>
            </w:r>
          </w:p>
        </w:tc>
        <w:tc>
          <w:tcPr>
            <w:tcW w:type="dxa" w:w="3442"/>
            <w:tcMar>
              <w:top w:w="70" w:type="dxa"/>
              <w:start w:w="80" w:type="dxa"/>
              <w:bottom w:w="70" w:type="dxa"/>
              <w:end w:w="80" w:type="dxa"/>
            </w:tcMar>
            <w:vAlign w:val="top"/>
          </w:tcPr>
          <w:p>
            <w:pPr>
              <w:spacing w:after="0" w:line="240" w:lineRule="auto"/>
            </w:pPr>
            <w:r>
              <w:rPr>
                <w:rFonts w:ascii="Arial" w:hAnsi="Arial"/>
                <w:sz w:val="16"/>
              </w:rPr>
              <w:t>BigQuery + Looker Studio concept</w:t>
            </w:r>
          </w:p>
        </w:tc>
        <w:tc>
          <w:tcPr>
            <w:tcW w:type="dxa" w:w="3442"/>
            <w:tcMar>
              <w:top w:w="70" w:type="dxa"/>
              <w:start w:w="80" w:type="dxa"/>
              <w:bottom w:w="70" w:type="dxa"/>
              <w:end w:w="80" w:type="dxa"/>
            </w:tcMar>
            <w:vAlign w:val="top"/>
          </w:tcPr>
          <w:p>
            <w:pPr>
              <w:spacing w:after="0" w:line="240" w:lineRule="auto"/>
            </w:pPr>
            <w:r>
              <w:rPr>
                <w:rFonts w:ascii="Arial" w:hAnsi="Arial"/>
                <w:sz w:val="16"/>
              </w:rPr>
              <w:t>BigQuery-backed reporting APIs and integrated dashboard</w:t>
            </w:r>
          </w:p>
        </w:tc>
      </w:tr>
      <w:tr>
        <w:tc>
          <w:tcPr>
            <w:tcW w:type="dxa" w:w="3442"/>
            <w:tcMar>
              <w:top w:w="70" w:type="dxa"/>
              <w:start w:w="80" w:type="dxa"/>
              <w:bottom w:w="70" w:type="dxa"/>
              <w:end w:w="80" w:type="dxa"/>
            </w:tcMar>
            <w:vAlign w:val="top"/>
            <w:shd w:fill="EDF4F8"/>
          </w:tcPr>
          <w:p>
            <w:pPr>
              <w:spacing w:after="0" w:line="240" w:lineRule="auto"/>
            </w:pPr>
            <w:r>
              <w:rPr>
                <w:rFonts w:ascii="Arial" w:hAnsi="Arial"/>
                <w:b/>
                <w:sz w:val="16"/>
              </w:rPr>
              <w:t>Scale Model</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Operator/script based</w:t>
            </w:r>
          </w:p>
        </w:tc>
        <w:tc>
          <w:tcPr>
            <w:tcW w:type="dxa" w:w="3442"/>
            <w:tcMar>
              <w:top w:w="70" w:type="dxa"/>
              <w:start w:w="80" w:type="dxa"/>
              <w:bottom w:w="70" w:type="dxa"/>
              <w:end w:w="80" w:type="dxa"/>
            </w:tcMar>
            <w:vAlign w:val="top"/>
            <w:shd w:fill="EDF4F8"/>
          </w:tcPr>
          <w:p>
            <w:pPr>
              <w:spacing w:after="0" w:line="240" w:lineRule="auto"/>
            </w:pPr>
            <w:r>
              <w:rPr>
                <w:rFonts w:ascii="Arial" w:hAnsi="Arial"/>
                <w:sz w:val="16"/>
              </w:rPr>
              <w:t>Asynchronous serverless batch processing</w:t>
            </w:r>
          </w:p>
        </w:tc>
      </w:tr>
    </w:tbl>
    <w:p>
      <w:pPr>
        <w:spacing w:after="20"/>
      </w:pPr>
    </w:p>
    <w:p>
      <w:pPr>
        <w:pStyle w:val="DocH1"/>
        <w:pBdr>
          <w:bottom w:val="single" w:sz="6" w:space="2" w:color="CFE3F2"/>
        </w:pBdr>
      </w:pPr>
      <w:r>
        <w:t>10.  Recommendation and Production Readiness</w:t>
      </w:r>
    </w:p>
    <w:p>
      <w:pPr>
        <w:pStyle w:val="DocBody"/>
      </w:pPr>
      <w:r>
        <w:t xml:space="preserve">Proceed with the </w:t>
      </w:r>
      <w:r>
        <w:rPr>
          <w:b/>
        </w:rPr>
        <w:t>Enterprise Metadata Governance Platform</w:t>
      </w:r>
      <w:r>
        <w:t xml:space="preserve">, using </w:t>
      </w:r>
      <w:r>
        <w:rPr>
          <w:b/>
        </w:rPr>
        <w:t>platform-metadata-dev</w:t>
      </w:r>
      <w:r>
        <w:t xml:space="preserve"> as the mandatory validation environment and </w:t>
      </w:r>
      <w:r>
        <w:rPr>
          <w:b/>
        </w:rPr>
        <w:t>platform-metadata-prod</w:t>
      </w:r>
      <w:r>
        <w:t xml:space="preserve"> as the production control plane.</w:t>
      </w:r>
    </w:p>
    <w:p>
      <w:pPr>
        <w:pStyle w:val="DocBody"/>
      </w:pPr>
      <w:r>
        <w:t>Production onboarding should be capability-by-capability. Each resource family must have verified discovery, metadata behaviour, least-privilege IAM, retry/idempotency and - for Greenfield - exact creation-event routing before enablement.</w:t>
      </w:r>
    </w:p>
    <w:tbl>
      <w:tblPr>
        <w:tblW w:type="auto" w:w="0"/>
        <w:jc w:val="center"/>
        <w:tblLayout w:type="fixed"/>
        <w:tblLook w:firstColumn="1" w:firstRow="1" w:lastColumn="0" w:lastRow="0" w:noHBand="0" w:noVBand="1" w:val="04A0"/>
        <w:tblBorders>
          <w:top w:val="single" w:sz="4" w:color="AFC0CC"/>
          <w:left w:val="single" w:sz="4" w:color="AFC0CC"/>
          <w:bottom w:val="single" w:sz="4" w:color="AFC0CC"/>
          <w:right w:val="single" w:sz="4" w:color="AFC0CC"/>
          <w:insideH w:val="single" w:sz="4" w:color="AFC0CC"/>
          <w:insideV w:val="single" w:sz="4" w:color="AFC0CC"/>
        </w:tblBorders>
      </w:tblPr>
      <w:tblGrid>
        <w:gridCol w:w="5162"/>
        <w:gridCol w:w="5162"/>
      </w:tblGrid>
      <w:tr>
        <w:tc>
          <w:tcPr>
            <w:tcW w:type="dxa" w:w="2880"/>
            <w:shd w:fill="CFE3F2"/>
            <w:tcMar>
              <w:top w:w="70" w:type="dxa"/>
              <w:start w:w="80" w:type="dxa"/>
              <w:bottom w:w="70" w:type="dxa"/>
              <w:end w:w="80" w:type="dxa"/>
            </w:tcMar>
          </w:tcPr>
          <w:p>
            <w:pPr>
              <w:spacing w:after="0"/>
            </w:pPr>
            <w:r>
              <w:rPr>
                <w:rFonts w:ascii="Arial" w:hAnsi="Arial"/>
                <w:b/>
                <w:color w:val="214563"/>
                <w:sz w:val="16"/>
              </w:rPr>
              <w:t>Production Gate</w:t>
            </w:r>
          </w:p>
        </w:tc>
        <w:tc>
          <w:tcPr>
            <w:tcW w:type="dxa" w:w="7344"/>
            <w:shd w:fill="CFE3F2"/>
            <w:tcMar>
              <w:top w:w="70" w:type="dxa"/>
              <w:start w:w="80" w:type="dxa"/>
              <w:bottom w:w="70" w:type="dxa"/>
              <w:end w:w="80" w:type="dxa"/>
            </w:tcMar>
          </w:tcPr>
          <w:p>
            <w:pPr>
              <w:spacing w:after="0"/>
            </w:pPr>
            <w:r>
              <w:rPr>
                <w:rFonts w:ascii="Arial" w:hAnsi="Arial"/>
                <w:b/>
                <w:color w:val="214563"/>
                <w:sz w:val="16"/>
              </w:rPr>
              <w:t>Required Outcome</w:t>
            </w:r>
          </w:p>
        </w:tc>
      </w:tr>
      <w:tr>
        <w:tc>
          <w:tcPr>
            <w:tcW w:type="dxa" w:w="5162"/>
            <w:tcMar>
              <w:top w:w="70" w:type="dxa"/>
              <w:start w:w="80" w:type="dxa"/>
              <w:bottom w:w="70" w:type="dxa"/>
              <w:end w:w="80" w:type="dxa"/>
            </w:tcMar>
            <w:vAlign w:val="top"/>
            <w:shd w:fill="E3F2E7"/>
          </w:tcPr>
          <w:p>
            <w:pPr>
              <w:spacing w:after="0" w:line="240" w:lineRule="auto"/>
            </w:pPr>
            <w:r>
              <w:rPr>
                <w:rFonts w:ascii="Arial" w:hAnsi="Arial"/>
                <w:b/>
                <w:sz w:val="16"/>
              </w:rPr>
              <w:t>Registry</w:t>
            </w:r>
          </w:p>
        </w:tc>
        <w:tc>
          <w:tcPr>
            <w:tcW w:type="dxa" w:w="5162"/>
            <w:tcMar>
              <w:top w:w="70" w:type="dxa"/>
              <w:start w:w="80" w:type="dxa"/>
              <w:bottom w:w="70" w:type="dxa"/>
              <w:end w:w="80" w:type="dxa"/>
            </w:tcMar>
            <w:vAlign w:val="top"/>
            <w:shd w:fill="E3F2E7"/>
          </w:tcPr>
          <w:p>
            <w:pPr>
              <w:spacing w:after="0" w:line="240" w:lineRule="auto"/>
            </w:pPr>
            <w:r>
              <w:rPr>
                <w:rFonts w:ascii="Arial" w:hAnsi="Arial"/>
                <w:sz w:val="16"/>
              </w:rPr>
              <w:t>Schema validation and unique project bindings pass before promotion.</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Capability</w:t>
            </w:r>
          </w:p>
        </w:tc>
        <w:tc>
          <w:tcPr>
            <w:tcW w:type="dxa" w:w="5162"/>
            <w:tcMar>
              <w:top w:w="70" w:type="dxa"/>
              <w:start w:w="80" w:type="dxa"/>
              <w:bottom w:w="70" w:type="dxa"/>
              <w:end w:w="80" w:type="dxa"/>
            </w:tcMar>
            <w:vAlign w:val="top"/>
          </w:tcPr>
          <w:p>
            <w:pPr>
              <w:spacing w:after="0" w:line="240" w:lineRule="auto"/>
            </w:pPr>
            <w:r>
              <w:rPr>
                <w:rFonts w:ascii="Arial" w:hAnsi="Arial"/>
                <w:sz w:val="16"/>
              </w:rPr>
              <w:t>Only tested resource types are enabled.</w:t>
            </w:r>
          </w:p>
        </w:tc>
      </w:tr>
      <w:tr>
        <w:tc>
          <w:tcPr>
            <w:tcW w:type="dxa" w:w="5162"/>
            <w:tcMar>
              <w:top w:w="70" w:type="dxa"/>
              <w:start w:w="80" w:type="dxa"/>
              <w:bottom w:w="70" w:type="dxa"/>
              <w:end w:w="80" w:type="dxa"/>
            </w:tcMar>
            <w:vAlign w:val="top"/>
            <w:shd w:fill="E3F2E7"/>
          </w:tcPr>
          <w:p>
            <w:pPr>
              <w:spacing w:after="0" w:line="240" w:lineRule="auto"/>
            </w:pPr>
            <w:r>
              <w:rPr>
                <w:rFonts w:ascii="Arial" w:hAnsi="Arial"/>
                <w:b/>
                <w:sz w:val="16"/>
              </w:rPr>
              <w:t>IAM</w:t>
            </w:r>
          </w:p>
        </w:tc>
        <w:tc>
          <w:tcPr>
            <w:tcW w:type="dxa" w:w="5162"/>
            <w:tcMar>
              <w:top w:w="70" w:type="dxa"/>
              <w:start w:w="80" w:type="dxa"/>
              <w:bottom w:w="70" w:type="dxa"/>
              <w:end w:w="80" w:type="dxa"/>
            </w:tcMar>
            <w:vAlign w:val="top"/>
            <w:shd w:fill="E3F2E7"/>
          </w:tcPr>
          <w:p>
            <w:pPr>
              <w:spacing w:after="0" w:line="240" w:lineRule="auto"/>
            </w:pPr>
            <w:r>
              <w:rPr>
                <w:rFonts w:ascii="Arial" w:hAnsi="Arial"/>
                <w:sz w:val="16"/>
              </w:rPr>
              <w:t>Least-privilege permissions match enabled capabilities.</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Brownfield</w:t>
            </w:r>
          </w:p>
        </w:tc>
        <w:tc>
          <w:tcPr>
            <w:tcW w:type="dxa" w:w="5162"/>
            <w:tcMar>
              <w:top w:w="70" w:type="dxa"/>
              <w:start w:w="80" w:type="dxa"/>
              <w:bottom w:w="70" w:type="dxa"/>
              <w:end w:w="80" w:type="dxa"/>
            </w:tcMar>
            <w:vAlign w:val="top"/>
          </w:tcPr>
          <w:p>
            <w:pPr>
              <w:spacing w:after="0" w:line="240" w:lineRule="auto"/>
            </w:pPr>
            <w:r>
              <w:rPr>
                <w:rFonts w:ascii="Arial" w:hAnsi="Arial"/>
                <w:sz w:val="16"/>
              </w:rPr>
              <w:t>Batching, retry, failure isolation and representative scale are validated.</w:t>
            </w:r>
          </w:p>
        </w:tc>
      </w:tr>
      <w:tr>
        <w:tc>
          <w:tcPr>
            <w:tcW w:type="dxa" w:w="5162"/>
            <w:tcMar>
              <w:top w:w="70" w:type="dxa"/>
              <w:start w:w="80" w:type="dxa"/>
              <w:bottom w:w="70" w:type="dxa"/>
              <w:end w:w="80" w:type="dxa"/>
            </w:tcMar>
            <w:vAlign w:val="top"/>
            <w:shd w:fill="E3F2E7"/>
          </w:tcPr>
          <w:p>
            <w:pPr>
              <w:spacing w:after="0" w:line="240" w:lineRule="auto"/>
            </w:pPr>
            <w:r>
              <w:rPr>
                <w:rFonts w:ascii="Arial" w:hAnsi="Arial"/>
                <w:b/>
                <w:sz w:val="16"/>
              </w:rPr>
              <w:t>Greenfield</w:t>
            </w:r>
          </w:p>
        </w:tc>
        <w:tc>
          <w:tcPr>
            <w:tcW w:type="dxa" w:w="5162"/>
            <w:tcMar>
              <w:top w:w="70" w:type="dxa"/>
              <w:start w:w="80" w:type="dxa"/>
              <w:bottom w:w="70" w:type="dxa"/>
              <w:end w:w="80" w:type="dxa"/>
            </w:tcMar>
            <w:vAlign w:val="top"/>
            <w:shd w:fill="E3F2E7"/>
          </w:tcPr>
          <w:p>
            <w:pPr>
              <w:spacing w:after="0" w:line="240" w:lineRule="auto"/>
            </w:pPr>
            <w:r>
              <w:rPr>
                <w:rFonts w:ascii="Arial" w:hAnsi="Arial"/>
                <w:sz w:val="16"/>
              </w:rPr>
              <w:t>Exact creation events and end-to-end organisation routing are validated.</w:t>
            </w:r>
          </w:p>
        </w:tc>
      </w:tr>
      <w:tr>
        <w:tc>
          <w:tcPr>
            <w:tcW w:type="dxa" w:w="5162"/>
            <w:tcMar>
              <w:top w:w="70" w:type="dxa"/>
              <w:start w:w="80" w:type="dxa"/>
              <w:bottom w:w="70" w:type="dxa"/>
              <w:end w:w="80" w:type="dxa"/>
            </w:tcMar>
            <w:vAlign w:val="top"/>
          </w:tcPr>
          <w:p>
            <w:pPr>
              <w:spacing w:after="0" w:line="240" w:lineRule="auto"/>
            </w:pPr>
            <w:r>
              <w:rPr>
                <w:rFonts w:ascii="Arial" w:hAnsi="Arial"/>
                <w:b/>
                <w:sz w:val="16"/>
              </w:rPr>
              <w:t>Security</w:t>
            </w:r>
          </w:p>
        </w:tc>
        <w:tc>
          <w:tcPr>
            <w:tcW w:type="dxa" w:w="5162"/>
            <w:tcMar>
              <w:top w:w="70" w:type="dxa"/>
              <w:start w:w="80" w:type="dxa"/>
              <w:bottom w:w="70" w:type="dxa"/>
              <w:end w:w="80" w:type="dxa"/>
            </w:tcMar>
            <w:vAlign w:val="top"/>
          </w:tcPr>
          <w:p>
            <w:pPr>
              <w:spacing w:after="0" w:line="240" w:lineRule="auto"/>
            </w:pPr>
            <w:r>
              <w:rPr>
                <w:rFonts w:ascii="Arial" w:hAnsi="Arial"/>
                <w:sz w:val="16"/>
              </w:rPr>
              <w:t>Dashboard access and internal service endpoints are authenticated and restricted.</w:t>
            </w:r>
          </w:p>
        </w:tc>
      </w:tr>
      <w:tr>
        <w:tc>
          <w:tcPr>
            <w:tcW w:type="dxa" w:w="5162"/>
            <w:tcMar>
              <w:top w:w="70" w:type="dxa"/>
              <w:start w:w="80" w:type="dxa"/>
              <w:bottom w:w="70" w:type="dxa"/>
              <w:end w:w="80" w:type="dxa"/>
            </w:tcMar>
            <w:vAlign w:val="top"/>
            <w:shd w:fill="E3F2E7"/>
          </w:tcPr>
          <w:p>
            <w:pPr>
              <w:spacing w:after="0" w:line="240" w:lineRule="auto"/>
            </w:pPr>
            <w:r>
              <w:rPr>
                <w:rFonts w:ascii="Arial" w:hAnsi="Arial"/>
                <w:b/>
                <w:sz w:val="16"/>
              </w:rPr>
              <w:t>Operations</w:t>
            </w:r>
          </w:p>
        </w:tc>
        <w:tc>
          <w:tcPr>
            <w:tcW w:type="dxa" w:w="5162"/>
            <w:tcMar>
              <w:top w:w="70" w:type="dxa"/>
              <w:start w:w="80" w:type="dxa"/>
              <w:bottom w:w="70" w:type="dxa"/>
              <w:end w:w="80" w:type="dxa"/>
            </w:tcMar>
            <w:vAlign w:val="top"/>
            <w:shd w:fill="E3F2E7"/>
          </w:tcPr>
          <w:p>
            <w:pPr>
              <w:spacing w:after="0" w:line="240" w:lineRule="auto"/>
            </w:pPr>
            <w:r>
              <w:rPr>
                <w:rFonts w:ascii="Arial" w:hAnsi="Arial"/>
                <w:sz w:val="16"/>
              </w:rPr>
              <w:t>Logging, alerting, budgets, rollback and runbook are approved.</w:t>
            </w:r>
          </w:p>
        </w:tc>
      </w:tr>
    </w:tbl>
    <w:p>
      <w:pPr>
        <w:spacing w:after="20"/>
      </w:pPr>
    </w:p>
    <w:tbl>
      <w:tblPr>
        <w:tblW w:type="auto" w:w="0"/>
        <w:jc w:val="center"/>
        <w:tblLook w:firstColumn="1" w:firstRow="1" w:lastColumn="0" w:lastRow="0" w:noHBand="0" w:noVBand="1" w:val="04A0"/>
      </w:tblPr>
      <w:tblGrid>
        <w:gridCol w:w="10325"/>
      </w:tblGrid>
      <w:tr>
        <w:tc>
          <w:tcPr>
            <w:tcW w:type="dxa" w:w="10325"/>
            <w:shd w:fill="F3F7FA"/>
            <w:tcMar>
              <w:top w:w="100" w:type="dxa"/>
              <w:start w:w="120" w:type="dxa"/>
              <w:bottom w:w="100" w:type="dxa"/>
              <w:end w:w="120" w:type="dxa"/>
            </w:tcMar>
          </w:tcPr>
          <w:p>
            <w:pPr>
              <w:spacing w:after="0"/>
            </w:pPr>
            <w:r>
              <w:rPr>
                <w:rFonts w:ascii="Arial" w:hAnsi="Arial"/>
                <w:b/>
                <w:color w:val="2E7098"/>
                <w:sz w:val="18"/>
              </w:rPr>
              <w:t xml:space="preserve">Important - Capability Control: </w:t>
            </w:r>
            <w:r>
              <w:rPr>
                <w:rFonts w:ascii="Arial" w:hAnsi="Arial"/>
                <w:sz w:val="17"/>
              </w:rPr>
              <w:t>Resource support is determined by active capability configuration. The presence of an adapter, client or IAM permission must never be treated as proof that a resource is production-enabled.</w:t>
            </w:r>
          </w:p>
        </w:tc>
      </w:tr>
    </w:tbl>
    <w:sectPr w:rsidR="00FC693F" w:rsidRPr="0006063C" w:rsidSect="00034616">
      <w:footerReference w:type="default" r:id="rId9"/>
      <w:pgSz w:w="11909" w:h="16834"/>
      <w:pgMar w:top="749" w:right="792" w:bottom="83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w:hAnsi="Arial"/>
        <w:color w:val="7C7C7C"/>
        <w:sz w:val="15"/>
      </w:rPr>
      <w:t>RB Global - GCP Metadata Governance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Body">
    <w:name w:val="DocBody"/>
    <w:pPr>
      <w:spacing w:before="0" w:after="80" w:line="252" w:lineRule="auto"/>
    </w:pPr>
    <w:rPr>
      <w:rFonts w:ascii="Arial" w:hAnsi="Arial" w:eastAsia="Arial"/>
      <w:b w:val="0"/>
      <w:color w:val="262626"/>
      <w:sz w:val="18"/>
    </w:rPr>
  </w:style>
  <w:style w:type="paragraph" w:customStyle="1" w:styleId="DocH1">
    <w:name w:val="DocH1"/>
    <w:pPr>
      <w:spacing w:before="100" w:after="80" w:line="252" w:lineRule="auto"/>
    </w:pPr>
    <w:rPr>
      <w:rFonts w:ascii="Arial" w:hAnsi="Arial" w:eastAsia="Arial"/>
      <w:b/>
      <w:color w:val="214563"/>
      <w:sz w:val="29"/>
    </w:rPr>
  </w:style>
  <w:style w:type="paragraph" w:customStyle="1" w:styleId="DocH2">
    <w:name w:val="DocH2"/>
    <w:pPr>
      <w:spacing w:before="120" w:after="60" w:line="252" w:lineRule="auto"/>
    </w:pPr>
    <w:rPr>
      <w:rFonts w:ascii="Arial" w:hAnsi="Arial" w:eastAsia="Arial"/>
      <w:b/>
      <w:color w:val="2E7098"/>
      <w:sz w:val="21"/>
    </w:rPr>
  </w:style>
  <w:style w:type="paragraph" w:customStyle="1" w:styleId="DocSmall">
    <w:name w:val="DocSmall"/>
    <w:pPr>
      <w:spacing w:before="0" w:after="40" w:line="252" w:lineRule="auto"/>
    </w:pPr>
    <w:rPr>
      <w:rFonts w:ascii="Arial" w:hAnsi="Arial" w:eastAsia="Arial"/>
      <w:b w:val="0"/>
      <w:color w:val="7C7C7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