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 w:line="276" w:lineRule="auto"/>
      </w:pPr>
      <w:r>
        <w:rPr>
          <w:rFonts w:ascii="Calibri" w:hAnsi="Calibri"/>
          <w:b/>
          <w:color w:val="003366"/>
          <w:sz w:val="28"/>
        </w:rPr>
        <w:t>FUNDACIÓN KINAL</w:t>
      </w:r>
    </w:p>
    <w:p>
      <w:pPr>
        <w:spacing w:before="0" w:after="400" w:line="276" w:lineRule="auto"/>
      </w:pPr>
      <w:r>
        <w:rPr>
          <w:rFonts w:ascii="Calibri" w:hAnsi="Calibri"/>
          <w:color w:val="4A5568"/>
          <w:sz w:val="22"/>
        </w:rPr>
        <w:t>Escuela Técnica Superior — Coordinación de Formación Continua y Empleabilidad</w:t>
      </w:r>
    </w:p>
    <w:p>
      <w:pPr>
        <w:spacing w:before="280" w:after="200" w:line="276" w:lineRule="auto"/>
      </w:pPr>
      <w:r>
        <w:rPr>
          <w:rFonts w:ascii="Calibri" w:hAnsi="Calibri"/>
          <w:b/>
          <w:color w:val="003366"/>
          <w:sz w:val="40"/>
        </w:rPr>
        <w:t>PLANIFICACIÓN Y PROPUESTA FORMATIVA INSTITUCIONAL:</w:t>
        <w:br/>
        <w:t>CIBERSEGURIDAD Y FUNDAMENTOS DE SEGURIDAD DE LA INFORMACIÓN</w:t>
      </w:r>
    </w:p>
    <w:p>
      <w:pPr>
        <w:spacing w:before="0" w:after="400" w:line="276" w:lineRule="auto"/>
      </w:pPr>
      <w:r>
        <w:rPr>
          <w:rFonts w:ascii="Calibri" w:hAnsi="Calibri"/>
          <w:i/>
          <w:color w:val="4A5568"/>
          <w:sz w:val="23"/>
        </w:rPr>
        <w:t>Programa de Capacitación Híbrida para la Reconversión Laboral y Empleabilidad Inmediata en el Sector Tecnológico de Guatemala (80 Horas — 20 Sesiones)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insideH w:val="single" w:sz="6" w:space="0" w:color="CBD5E0"/>
          <w:insideV w:val="none"/>
          <w:left w:val="none"/>
          <w:right w:val="none"/>
        </w:tblBorders>
      </w:tblPr>
      <w:tblGrid>
        <w:gridCol w:w="3168"/>
        <w:gridCol w:w="6192"/>
      </w:tblGrid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Nivel Formativo de Referencia: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Equivalencia DQR Nivel 4 - 5 (Competencia técnica especializada y autonomía operativa)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Población Destinataria: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Jóvenes y adultos desempleados de 18 a 45 años con conocimientos previos de informática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Duración Total: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80 horas pedagógicas (20 sesiones de 4 horas / 240 min; 73h 20min de actividad neta)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Modalidad Híbrida: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80% Virtual (16 sesiones / 64 horas) y 20% Presencial (4 sesiones / 16 horas en Kinal)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Estructura de Horarios: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Por convenir institucionalmente (secuencia por sesiones, sin imponer días u horas fijas)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Orientación de Empleabilidad: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Soporte técnico, operación tecnológica y funciones iniciales de apoyo a seguridad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Nota Mínima Aprobatoria: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75 puntos sobre 100 en todas las comprobaciones, productos y proyecto integrador</w:t>
            </w:r>
          </w:p>
        </w:tc>
      </w:tr>
      <w:tr>
        <w:tc>
          <w:tcPr>
            <w:tcW w:type="dxa" w:w="4680"/>
            <w:shd w:fill="F7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Sede Presencial:</w:t>
            </w:r>
          </w:p>
        </w:tc>
        <w:tc>
          <w:tcPr>
            <w:tcW w:type="dxa" w:w="46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Fundación Kinal — Laboratorios de Cómputo y Redes, Sede Central, Zona 7, Ciudad de Guatemala</w:t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1. Marco Filosófico e Ideario Institucional de Fundación Kinal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1"/>
        </w:rPr>
        <w:t>El diseño formativo se cimenta en la visión humanística y ética de Fundación Kinal, garantizando que el aprendizaje técnico esté indisolublemente ligado a la responsabilidad personal, la honradez y el servicio a la comunidad: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Misión Institucional de Kinal: </w:t>
            </w:r>
            <w:r>
              <w:rPr>
                <w:rFonts w:ascii="Calibri" w:hAnsi="Calibri"/>
                <w:i/>
                <w:color w:val="2D3748"/>
                <w:sz w:val="20"/>
              </w:rPr>
              <w:t>«Formar a jóvenes y adultos a través de una educación integral, con énfasis en las áreas técnicas y tecnológicas, influyendo positivamente en su trabajo, su familia y la sociedad».</w:t>
            </w:r>
          </w:p>
        </w:tc>
      </w:tr>
    </w:tbl>
    <w:p>
      <w:pPr>
        <w:spacing w:before="0"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Valores Nucleares de Kinal: </w:t>
            </w:r>
            <w:r>
              <w:rPr>
                <w:rFonts w:ascii="Calibri" w:hAnsi="Calibri"/>
                <w:i/>
                <w:color w:val="2D3748"/>
                <w:sz w:val="20"/>
              </w:rPr>
              <w:t>«Visión cristiana de la vida. Respeto a la dignidad de la persona. Espíritu de servicio. Trabajo bien hecho. Libertad personal responsable».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1.1 El Principio del «Trabajo Bien Hecho» Aplicado a la Seguridad de la Información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0"/>
        </w:rPr>
        <w:t>En este programa, el principio rector del «trabajo bien hecho» se manifiesta en estándares profesionales innegociables:</w:t>
        <w:br/>
        <w:t>• Rigor en la asignación de controles: Un control no es una declaración abstracta; debe contener alcance explícito, responsable asignado, procedimiento de ejecución y evidencia verificable de cumplimiento.</w:t>
        <w:br/>
        <w:t>• Trazabilidad y verdad en los registros: Separar hechos comprobables de meras hipótesis técnicas al analizar eventos en SIEM o servidores, preservando la exactitud de fechas, actores y resultados sin alterar evidencias.</w:t>
        <w:br/>
        <w:t>• Confidencialidad y protección cotidiana de datos: Cero tolerancia a compartir credenciales o anotarlas en lugares visibles; uso estricto de cuentas individuales y canales aprobados desde la primera sesión.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2. Fundamentación Técnica, Enfoque Pedagógico y Caso Transversal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0"/>
        </w:rPr>
        <w:t>A diferencia de propuestas puramente teóricas o cursos desarticulados de herramientas ofensivas, este programa adopta un enfoque constructivo orientado a la realidad laboral de las organizaciones en Guatemala:</w:t>
        <w:br/>
        <w:t>• Caso Práctico Transversal de Empresa Ficticia: Cada sesión conecta un concepto técnico con una situación laboral concreta a través de una empresa ficticia que cuenta con estaciones de trabajo, red local, un servidor corporativo, una aplicación web y servicios SaaS. El mismo caso se amplía progresivamente durante los 8 módulos, evitando ejercicios aislados o controles descontextualizados.</w:t>
        <w:br/>
        <w:t>• Enfoque de Análisis y Verificación (No Explotativo): Las actividades prácticas se centran en leer, comparar, representar, justificar y documentar. Las demostraciones se ejecutan sobre escenarios autorizados y datos simulados, sin exigir explotación de vulnerabilidades ni ataques intrusivos.</w:t>
        <w:br/>
        <w:t>• Delimitación Profesional del Alcance: El curso forma el criterio técnico para interpretar sistemas, dialogar con proveedores, diseñar salvaguardas y escalar incidentes; no acredita especialización en pentesting, auditoría avanzada ni ingeniería de redes.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3. Marco Alemán de Cualificaciones (DQR Nivel 4-5) y Enfoque Dual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Definición de Formación Profesional Dual: </w:t>
            </w:r>
            <w:r>
              <w:rPr>
                <w:rFonts w:ascii="Calibri" w:hAnsi="Calibri"/>
                <w:i/>
                <w:color w:val="2D3748"/>
                <w:sz w:val="20"/>
              </w:rPr>
              <w:t>«concepto de aprendizaje para jóvenes que tiene como objetivo preparar a los aprendices para su vida profesional, por lo que la formación se realiza en régimen de alternancia entre la escuela o el centro de formación y la empresa. El aprender en el proceso del trabajo es base y a la vez objetivo de la acción formativa».</w:t>
            </w:r>
          </w:p>
        </w:tc>
      </w:tr>
    </w:tbl>
    <w:p>
      <w:pPr>
        <w:spacing w:before="0"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Concepto de Competencia en el DQR: </w:t>
            </w:r>
            <w:r>
              <w:rPr>
                <w:rFonts w:ascii="Calibri" w:hAnsi="Calibri"/>
                <w:i/>
                <w:color w:val="2D3748"/>
                <w:sz w:val="20"/>
              </w:rPr>
              <w:t>«the ability and readiness of the individual to use knowledge, skills and personal, social and methodological competences and to behave in a considered, individual and socially responsible manner. Competence is understood in this sense as the comprehensive ability to act».</w:t>
            </w:r>
          </w:p>
        </w:tc>
      </w:tr>
    </w:tbl>
    <w:p>
      <w:pPr>
        <w:spacing w:before="0"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2160"/>
        <w:gridCol w:w="4608"/>
      </w:tblGrid>
      <w:tr>
        <w:tc>
          <w:tcPr>
            <w:tcW w:type="dxa" w:w="312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Dimensión DQR</w:t>
            </w:r>
          </w:p>
        </w:tc>
        <w:tc>
          <w:tcPr>
            <w:tcW w:type="dxa" w:w="312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Subdimensión</w:t>
            </w:r>
          </w:p>
        </w:tc>
        <w:tc>
          <w:tcPr>
            <w:tcW w:type="dxa" w:w="312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Evidencia de Desempeño en el Programa</w:t>
            </w:r>
          </w:p>
        </w:tc>
      </w:tr>
      <w:tr>
        <w:tc>
          <w:tcPr>
            <w:tcW w:type="dxa" w:w="3120"/>
            <w:shd w:fill="F7FAFC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Competencia Profesional</w:t>
              <w:br/>
              <w:t>(Fachkompetenz)</w:t>
            </w:r>
          </w:p>
        </w:tc>
        <w:tc>
          <w:tcPr>
            <w:tcW w:type="dxa" w:w="3120"/>
            <w:shd w:fill="F7FAFC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Conocimientos</w:t>
              <w:br/>
              <w:t>(Wissen)</w:t>
            </w:r>
          </w:p>
        </w:tc>
        <w:tc>
          <w:tcPr>
            <w:tcW w:type="dxa" w:w="3120"/>
            <w:shd w:fill="F7FAFC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Arquitectura de sistemas/nube, protocolos web (HTTP/TLS), marcos de autenticación (SAML/OAuth), ciclo de vulnerabilidades (CVE/CVSS) y estándares normativos (ISO 27001, PCI DSS, SOC, HIPAA).</w:t>
            </w:r>
          </w:p>
        </w:tc>
      </w:tr>
      <w:tr>
        <w:tc>
          <w:tcPr>
            <w:tcW w:type="dxa" w:w="3120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Competencia Profesional</w:t>
              <w:br/>
              <w:t>(Fachkompetenz)</w:t>
            </w:r>
          </w:p>
        </w:tc>
        <w:tc>
          <w:tcPr>
            <w:tcW w:type="dxa" w:w="3120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Destrezas</w:t>
              <w:br/>
              <w:t>(Fertigkeiten)</w:t>
            </w:r>
          </w:p>
        </w:tc>
        <w:tc>
          <w:tcPr>
            <w:tcW w:type="dxa" w:w="3120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Diagramación de flujos de sistemas, construcción de matrices RBAC, diseño de controles verificables, correlación de logs en SIEM, lectura de avisos de seguridad y redacción de SOPs.</w:t>
            </w:r>
          </w:p>
        </w:tc>
      </w:tr>
      <w:tr>
        <w:tc>
          <w:tcPr>
            <w:tcW w:type="dxa" w:w="3120"/>
            <w:shd w:fill="F7FAFC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Competencia Personal</w:t>
              <w:br/>
              <w:t>(Personale Kompetenz)</w:t>
            </w:r>
          </w:p>
        </w:tc>
        <w:tc>
          <w:tcPr>
            <w:tcW w:type="dxa" w:w="3120"/>
            <w:shd w:fill="F7FAFC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Competencia Social</w:t>
              <w:br/>
              <w:t>(Sozialkompetenz)</w:t>
            </w:r>
          </w:p>
        </w:tc>
        <w:tc>
          <w:tcPr>
            <w:tcW w:type="dxa" w:w="3120"/>
            <w:shd w:fill="F7FAFC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Capacidad de comunicación asertiva entre el área técnica y las áreas usuarias, fundamentación de decisiones ante comités de cambio y reporte oportuno y sereno de incidentes.</w:t>
            </w:r>
          </w:p>
        </w:tc>
      </w:tr>
      <w:tr>
        <w:tc>
          <w:tcPr>
            <w:tcW w:type="dxa" w:w="3120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Competencia Personal</w:t>
              <w:br/>
              <w:t>(Personale Kompetenz)</w:t>
            </w:r>
          </w:p>
        </w:tc>
        <w:tc>
          <w:tcPr>
            <w:tcW w:type="dxa" w:w="3120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Autonomía</w:t>
              <w:br/>
              <w:t>(Selbständigkeit)</w:t>
            </w:r>
          </w:p>
        </w:tc>
        <w:tc>
          <w:tcPr>
            <w:tcW w:type="dxa" w:w="3120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Criterio técnico independiente para evaluar riesgos, responsabilidad en la custodia de accesos, autoinspección de calidad técnica y adhesión inquebrantable a la ética digital.</w:t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4. Perfiles de Ingreso y Egreso Institucional</w:t>
      </w: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4.1 Perfil de Ingreso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1"/>
        </w:rPr>
        <w:t>Dirigido a personas de 18 a 45 años desempleadas con conocimientos previos de informática que buscan fortalecer su preparación para funciones iniciales de soporte, operación tecnológica y apoyo a seguridad de la información. Se requiere manejo básico de computadora, navegador, archivos y documentos; no se requiere programación ni administración avanzada de redes.</w:t>
      </w: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4.2 Perfil de Egreso</w:t>
      </w:r>
    </w:p>
    <w:p>
      <w:pPr>
        <w:spacing w:before="0" w:after="240" w:line="276" w:lineRule="auto"/>
      </w:pPr>
      <w:r>
        <w:rPr>
          <w:rFonts w:ascii="Calibri" w:hAnsi="Calibri"/>
          <w:color w:val="1A202C"/>
          <w:sz w:val="21"/>
        </w:rPr>
        <w:t>El egresado interpreta sistemas, redes y servicios digitales delimitando fronteras y riesgos; diseña controles de identidad y acceso bajo mínimo privilegio; analiza la protección del transporte web; correlaciona eventos en SIEM; gestiona el ciclo de vida de vulnerabilidades; redacta políticas y SOPs ejecutables; y reporta señales de incidentes bajo las mejores prácticas de la industria y los valores de Kinal.</w:t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5. Arquitectura Curricular y Distribución Modular (80 Horas — 20 Sesiones)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0"/>
        </w:rPr>
        <w:t>Las 80 horas corresponden a 20 encuentros de 240 minutos (con 20 minutos de receso por encuentro, sumando 73h 20min de actividad formativa efectiva). El programa se distribuye en 8 módulos especializados: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1296"/>
        <w:gridCol w:w="3168"/>
        <w:gridCol w:w="864"/>
        <w:gridCol w:w="1296"/>
        <w:gridCol w:w="2736"/>
      </w:tblGrid>
      <w:tr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Área de Formación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Sesiones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Evidencia Principal del Módulo</w:t>
            </w:r>
          </w:p>
        </w:tc>
      </w:tr>
      <w:tr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1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Sistemas y gestión informática para la seguridad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12 h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Sesiones 1-3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Diagrama del sistema con equipos, red, servidor, SaaS y registro de incidente.</w:t>
            </w:r>
          </w:p>
        </w:tc>
      </w:tr>
      <w:tr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2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Identidad y control de acceso en aplicaciones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12 h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Sesiones 4-6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Flujo de sesión local/federado, matriz RBAC y procedimiento de baja de usuario.</w:t>
            </w:r>
          </w:p>
        </w:tc>
      </w:tr>
      <w:tr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3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Diseño de controles y responsabilidades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8 h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Sesiones 7-8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Diseño de acceso temporal, roles separados y reconstrucción con ticket y logs SIEM.</w:t>
            </w:r>
          </w:p>
        </w:tc>
      </w:tr>
      <w:tr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4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Seguridad de comunicaciones web y APIs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12 h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Sesiones 9-11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Trazado del recorrido web, revisión de certificados y petición de API segura.</w:t>
            </w:r>
          </w:p>
        </w:tc>
      </w:tr>
      <w:tr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5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Ciclo de vida y gestión de vulnerabilidades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12 h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Sesiones 12-14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Plan de ciclo de vida de inventario y tratamiento justificado de aviso CVE real.</w:t>
            </w:r>
          </w:p>
        </w:tc>
      </w:tr>
      <w:tr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6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Documentación y gestión del riesgo de seguridad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8 h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Sesiones 15-16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Política de accesos, SOP de baja, evaluación de riesgo y solicitud de aceptación.</w:t>
            </w:r>
          </w:p>
        </w:tc>
      </w:tr>
      <w:tr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7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Estándares, regulaciones e informes de aseguramiento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8 h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Sesiones 17-18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Comparativa de aplicabilidad entre PCI DSS, ISO 27001, HIPAA y SOC 1/2.</w:t>
            </w:r>
          </w:p>
        </w:tc>
      </w:tr>
      <w:tr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8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Higiene digital y respuesta inicial a incidentes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8 h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Sesiones 19-20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Reporte de phishing, preservación y sustentación del Expediente de Seguridad.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6. Esquema de Evaluación Institucional y Expediente del Caso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0"/>
        </w:rPr>
        <w:t>El sistema de evaluación exige explicar por qué se propone cada control y cómo se comprobaría su resultado operativo. Conforme a las normas de Fundación Kinal, la nota mínima de suficiencia técnica es de 75 puntos sobre 100: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3168"/>
        <w:gridCol w:w="1584"/>
        <w:gridCol w:w="4608"/>
      </w:tblGrid>
      <w:tr>
        <w:tc>
          <w:tcPr>
            <w:tcW w:type="dxa" w:w="312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 Evaluativo</w:t>
            </w:r>
          </w:p>
        </w:tc>
        <w:tc>
          <w:tcPr>
            <w:tcW w:type="dxa" w:w="312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Ponderación</w:t>
            </w:r>
          </w:p>
        </w:tc>
        <w:tc>
          <w:tcPr>
            <w:tcW w:type="dxa" w:w="312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Evidencia y Criterio de Verificación</w:t>
            </w:r>
          </w:p>
        </w:tc>
      </w:tr>
      <w:tr>
        <w:tc>
          <w:tcPr>
            <w:tcW w:type="dxa" w:w="312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Comprobaciones de aprendizaje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20%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Respuestas breves, interpretación de flujos y defensa de decisiones técnicas.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Productos de los módulos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40%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Diagramas de arquitectura, matrices RBAC, fichas y documentos revisados.</w:t>
            </w:r>
          </w:p>
        </w:tc>
      </w:tr>
      <w:tr>
        <w:tc>
          <w:tcPr>
            <w:tcW w:type="dxa" w:w="312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Proyecto integrador (Expediente)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40%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Expediente de seguridad del caso transversal y sustentación oral final.</w:t>
            </w:r>
          </w:p>
        </w:tc>
      </w:tr>
    </w:tbl>
    <w:p>
      <w:pPr>
        <w:spacing w:before="160" w:after="80" w:line="276" w:lineRule="auto"/>
      </w:pPr>
      <w:r>
        <w:rPr>
          <w:rFonts w:ascii="Calibri" w:hAnsi="Calibri"/>
          <w:b/>
          <w:color w:val="003366"/>
          <w:sz w:val="20"/>
        </w:rPr>
        <w:t>Contenido del Expediente de Seguridad del Caso Transversal (Entregable Terminal):</w:t>
      </w:r>
    </w:p>
    <w:p>
      <w:pPr>
        <w:spacing w:before="20" w:after="40" w:line="276" w:lineRule="auto"/>
        <w:ind w:left="288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Alcance del sistema y clasificación de información; diagrama con componentes, datos y dependencias.</w:t>
      </w:r>
    </w:p>
    <w:p>
      <w:pPr>
        <w:spacing w:before="20" w:after="40" w:line="276" w:lineRule="auto"/>
        <w:ind w:left="288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Flujo de autenticación y sesión; matriz de roles y permisos (RBAC); alta, cambio y baja de usuarios.</w:t>
      </w:r>
    </w:p>
    <w:p>
      <w:pPr>
        <w:spacing w:before="20" w:after="40" w:line="276" w:lineRule="auto"/>
        <w:ind w:left="288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Asignación de responsabilidades y registro trazable de solicitud, aprobación, ejecución y cierre.</w:t>
      </w:r>
    </w:p>
    <w:p>
      <w:pPr>
        <w:spacing w:before="20" w:after="40" w:line="276" w:lineRule="auto"/>
        <w:ind w:left="288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Recorrido web y ficha de certificados; controles básicos sobre una API.</w:t>
      </w:r>
    </w:p>
    <w:p>
      <w:pPr>
        <w:spacing w:before="20" w:after="40" w:line="276" w:lineRule="auto"/>
        <w:ind w:left="288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Inventario con ciclo de vida; hallazgo de vulnerabilidad y plan de tratamiento con verificación.</w:t>
      </w:r>
    </w:p>
    <w:p>
      <w:pPr>
        <w:spacing w:before="20" w:after="40" w:line="276" w:lineRule="auto"/>
        <w:ind w:left="288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Política de accesos y SOP de baja; evaluación de riesgo y solicitud de aceptación temporal.</w:t>
      </w:r>
    </w:p>
    <w:p>
      <w:pPr>
        <w:spacing w:before="20" w:after="40" w:line="276" w:lineRule="auto"/>
        <w:ind w:left="288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Referencia de cumplimiento justificada y evidencia requerida; reporte formal de comunicación sospechosa.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right"/>
    </w:pPr>
    <w:r>
      <w:rPr>
        <w:rFonts w:ascii="Calibri" w:hAnsi="Calibri"/>
        <w:color w:val="4A5568"/>
        <w:sz w:val="17"/>
      </w:rPr>
      <w:t>Fundación Kinal | Ciberseguridad y Fundamentos de Seguridad de la Información — Propuesta Oficial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