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/>
          <w:b/>
          <w:color w:val="003366"/>
          <w:sz w:val="22"/>
        </w:rPr>
        <w:t>FUNDACIÓN KINAL — DIRECCIÓN DE VINCULACIÓN EMPRESARIAL</w:t>
      </w:r>
    </w:p>
    <w:p>
      <w:pPr>
        <w:spacing w:before="0" w:after="80" w:line="276" w:lineRule="auto"/>
      </w:pPr>
      <w:r>
        <w:rPr>
          <w:rFonts w:ascii="Calibri" w:hAnsi="Calibri"/>
          <w:b/>
          <w:color w:val="003366"/>
          <w:sz w:val="32"/>
        </w:rPr>
        <w:t>DOSIFICACIÓN DIDÁCTICA Y SECUENCIACIÓN OPERATIVA:</w:t>
        <w:br/>
        <w:t>PROGRAMA EJECUTIVO EN GESTIÓN DEL TALENTO TÉCNICO, LIDERAZGO Y FACTOR HUMANO</w:t>
      </w:r>
    </w:p>
    <w:p>
      <w:pPr>
        <w:spacing w:before="0" w:after="200" w:line="276" w:lineRule="auto"/>
      </w:pPr>
      <w:r>
        <w:rPr>
          <w:rFonts w:ascii="Calibri" w:hAnsi="Calibri"/>
          <w:i/>
          <w:color w:val="4A5568"/>
          <w:sz w:val="21"/>
        </w:rPr>
        <w:t>Cronograma Pedagógico Encuentro por Encuentro | 1 Mes de Duración | Modalidad Híbrida Ejecutiva (6 Encuentros: 2 Jornadas Presenciales Especiales en Kinal + 4 Sesiones Virtuales Semanales en Teams)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00" w:type="dxa"/>
              <w:left w:w="140" w:type="dxa"/>
              <w:bottom w:w="100" w:type="dxa"/>
              <w:right w:w="140" w:type="dxa"/>
            </w:tcMar>
            <w:tcBorders>
              <w:top w:val="none"/>
              <w:left w:val="single" w:sz="24" w:space="0" w:color="003366"/>
              <w:bottom w:val="none"/>
              <w:right w:val="none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9"/>
              </w:rPr>
              <w:t xml:space="preserve">Organización Pedagógica Dual e Ideario Kinal: </w:t>
            </w:r>
            <w:r>
              <w:rPr>
                <w:rFonts w:ascii="Calibri" w:hAnsi="Calibri"/>
                <w:i/>
                <w:color w:val="2D3748"/>
                <w:sz w:val="19"/>
              </w:rPr>
              <w:t>«El aprender en el proceso del trabajo es base y a la vez objetivo de la acción formativa». Las 16 horas de contacto directo se estructuran a lo largo de un mes mediante 4 sesiones virtuales semanales de 2 horas en Microsoft Teams y 2 jornadas presenciales especiales de 4 horas en el campus de Fundación Kinal (Jornada Inicial de Apertura y Jornada de Cierre con Entrega de Diplomas y Reconocimientos). El programa genera un espacio de diálogo bidireccional industria-academia para identificar oportunidades de mejora y dotar a los líderes de equipos de herramientas prácticas en manejo de personal, liderazgo humanista y desarrollo de mandos medios. Umbral aprobatorio institucional: 75 puntos sobre 100.</w:t>
            </w:r>
          </w:p>
        </w:tc>
      </w:tr>
    </w:tbl>
    <w:p>
      <w:pPr>
        <w:spacing w:after="120"/>
      </w:pP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7"/>
        </w:rPr>
        <w:t>1. Matriz General de Dosificación Cronológica (1 Mes — 6 Encuentros)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016"/>
        <w:gridCol w:w="2160"/>
        <w:gridCol w:w="3168"/>
        <w:gridCol w:w="2016"/>
      </w:tblGrid>
      <w:tr>
        <w:tc>
          <w:tcPr>
            <w:tcW w:type="dxa" w:w="2340"/>
            <w:shd w:fill="003366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Encuentro / Formato</w:t>
            </w:r>
          </w:p>
        </w:tc>
        <w:tc>
          <w:tcPr>
            <w:tcW w:type="dxa" w:w="2340"/>
            <w:shd w:fill="003366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Eje Temático</w:t>
            </w:r>
          </w:p>
        </w:tc>
        <w:tc>
          <w:tcPr>
            <w:tcW w:type="dxa" w:w="2340"/>
            <w:shd w:fill="003366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Contenido Central del Encuentro</w:t>
            </w:r>
          </w:p>
        </w:tc>
        <w:tc>
          <w:tcPr>
            <w:tcW w:type="dxa" w:w="2340"/>
            <w:shd w:fill="003366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Producto Observable</w:t>
            </w:r>
          </w:p>
        </w:tc>
      </w:tr>
      <w:tr>
        <w:tc>
          <w:tcPr>
            <w:tcW w:type="dxa" w:w="2340"/>
            <w:shd w:fill="EBF8FF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Jornada Especial 1 (Presencial)</w:t>
            </w:r>
          </w:p>
        </w:tc>
        <w:tc>
          <w:tcPr>
            <w:tcW w:type="dxa" w:w="2340"/>
            <w:shd w:fill="EBF8FF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Apertura e Inmersión Kinal</w:t>
            </w:r>
          </w:p>
        </w:tc>
        <w:tc>
          <w:tcPr>
            <w:tcW w:type="dxa" w:w="2340"/>
            <w:shd w:fill="EBF8FF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Apertura institucional, presentación de la iniciativa, networking y recorrido por laboratorios TSU</w:t>
            </w:r>
          </w:p>
        </w:tc>
        <w:tc>
          <w:tcPr>
            <w:tcW w:type="dxa" w:w="2340"/>
            <w:shd w:fill="EBF8FF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Ficha diagnóstica inicial de expectativas y necesidades</w:t>
            </w:r>
          </w:p>
        </w:tc>
      </w:tr>
      <w:tr>
        <w:tc>
          <w:tcPr>
            <w:tcW w:type="dxa" w:w="2340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Sem. 1 / Sesión Virtual 1</w:t>
            </w:r>
          </w:p>
        </w:tc>
        <w:tc>
          <w:tcPr>
            <w:tcW w:type="dxa" w:w="2340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Manejo de Personal</w:t>
            </w:r>
          </w:p>
        </w:tc>
        <w:tc>
          <w:tcPr>
            <w:tcW w:type="dxa" w:w="2340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Atracción, reclutamiento técnico, inducción acelerada y reducción de costos por rotación ('Missing Middle')</w:t>
            </w:r>
          </w:p>
        </w:tc>
        <w:tc>
          <w:tcPr>
            <w:tcW w:type="dxa" w:w="2340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Descriptor de puesto técnico por competencias demostrables</w:t>
            </w:r>
          </w:p>
        </w:tc>
      </w:tr>
      <w:tr>
        <w:tc>
          <w:tcPr>
            <w:tcW w:type="dxa" w:w="2340"/>
            <w:shd w:fill="F7FAFC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Sem. 2 / Sesión Virtual 2</w:t>
            </w:r>
          </w:p>
        </w:tc>
        <w:tc>
          <w:tcPr>
            <w:tcW w:type="dxa" w:w="2340"/>
            <w:shd w:fill="F7FAFC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Liderazgo y Factor Humano</w:t>
            </w:r>
          </w:p>
        </w:tc>
        <w:tc>
          <w:tcPr>
            <w:tcW w:type="dxa" w:w="2340"/>
            <w:shd w:fill="F7FAFC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Antropología de Kinal, los 4 pilares operativos, erradicación del maltrato en planta y seguridad psicológica</w:t>
            </w:r>
          </w:p>
        </w:tc>
        <w:tc>
          <w:tcPr>
            <w:tcW w:type="dxa" w:w="2340"/>
            <w:shd w:fill="F7FAFC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Código de convivencia operativa y protocolo cero maltrato</w:t>
            </w:r>
          </w:p>
        </w:tc>
      </w:tr>
      <w:tr>
        <w:tc>
          <w:tcPr>
            <w:tcW w:type="dxa" w:w="2340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Sem. 3 / Sesión Virtual 3</w:t>
            </w:r>
          </w:p>
        </w:tc>
        <w:tc>
          <w:tcPr>
            <w:tcW w:type="dxa" w:w="2340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Competencias y Formación Dual</w:t>
            </w:r>
          </w:p>
        </w:tc>
        <w:tc>
          <w:tcPr>
            <w:tcW w:type="dxa" w:w="2340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Marco DQR 5-6, retorno de inversión (ROI) del TSU y esquemas de co-formación dual escuela-empresa</w:t>
            </w:r>
          </w:p>
        </w:tc>
        <w:tc>
          <w:tcPr>
            <w:tcW w:type="dxa" w:w="2340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Propuesta de semillero técnico dual y perfil de tutor Ausbilder</w:t>
            </w:r>
          </w:p>
        </w:tc>
      </w:tr>
      <w:tr>
        <w:tc>
          <w:tcPr>
            <w:tcW w:type="dxa" w:w="2340"/>
            <w:shd w:fill="F7FAFC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Sem. 4 / Sesión Virtual 4</w:t>
            </w:r>
          </w:p>
        </w:tc>
        <w:tc>
          <w:tcPr>
            <w:tcW w:type="dxa" w:w="2340"/>
            <w:shd w:fill="F7FAFC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Mandos Medios y Demanda Industrial</w:t>
            </w:r>
          </w:p>
        </w:tc>
        <w:tc>
          <w:tcPr>
            <w:tcW w:type="dxa" w:w="2340"/>
            <w:shd w:fill="F7FAFC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Desarrollo del supervisor de primera línea, medición de KPIs (OEE, SSO) y demandas de Industria 4.0</w:t>
            </w:r>
          </w:p>
        </w:tc>
        <w:tc>
          <w:tcPr>
            <w:tcW w:type="dxa" w:w="2340"/>
            <w:shd w:fill="F7FAFC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Catálogo de 5 micro-charlas de valores y borrador de diagnóstico</w:t>
            </w:r>
          </w:p>
        </w:tc>
      </w:tr>
      <w:tr>
        <w:tc>
          <w:tcPr>
            <w:tcW w:type="dxa" w:w="2340"/>
            <w:shd w:fill="EBF8FF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Jornada Especial 2 (Presencial)</w:t>
            </w:r>
          </w:p>
        </w:tc>
        <w:tc>
          <w:tcPr>
            <w:tcW w:type="dxa" w:w="2340"/>
            <w:shd w:fill="EBF8FF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Diálogo Industria y Clausura</w:t>
            </w:r>
          </w:p>
        </w:tc>
        <w:tc>
          <w:tcPr>
            <w:tcW w:type="dxa" w:w="2340"/>
            <w:shd w:fill="EBF8FF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Plenaria de diálogo Kinal-Empresas, consolidación de necesidades técnicas y humanas, entrega de diplomas y reconocimientos</w:t>
            </w:r>
          </w:p>
        </w:tc>
        <w:tc>
          <w:tcPr>
            <w:tcW w:type="dxa" w:w="2340"/>
            <w:shd w:fill="EBF8FF"/>
            <w:tcMar>
              <w:top w:w="45" w:type="dxa"/>
              <w:left w:w="55" w:type="dxa"/>
              <w:bottom w:w="45" w:type="dxa"/>
              <w:right w:w="5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Diplomas oficiales entregados y acuerdos de vinculación</w:t>
            </w:r>
          </w:p>
        </w:tc>
      </w:tr>
    </w:tbl>
    <w:p>
      <w:r>
        <w:br w:type="page"/>
      </w: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7"/>
        </w:rPr>
        <w:t>2. Microdiseño Didáctico Detallado por Encuentro (6 Jornadas)</w:t>
      </w:r>
    </w:p>
    <w:p>
      <w:pPr>
        <w:spacing w:before="0" w:after="160" w:line="276" w:lineRule="auto"/>
      </w:pPr>
      <w:r>
        <w:rPr>
          <w:rFonts w:ascii="Calibri" w:hAnsi="Calibri"/>
          <w:color w:val="1A202C"/>
          <w:sz w:val="19"/>
        </w:rPr>
        <w:t>A continuación se desglosa la secuencia metodológica de cada encuentro formativo: 4 horas para las 2 jornadas presenciales especiales en campus Kinal y 2 horas para las 4 sesiones virtuales semanales en Microsoft Teams:</w:t>
      </w:r>
    </w:p>
    <w:p>
      <w:pPr>
        <w:keepNext/>
        <w:spacing w:before="200" w:after="80"/>
      </w:pPr>
      <w:r>
        <w:rPr>
          <w:rFonts w:ascii="Calibri" w:hAnsi="Calibri"/>
          <w:b/>
          <w:color w:val="003366"/>
          <w:sz w:val="23"/>
        </w:rPr>
        <w:t>Jornada Presencial Especial 1 (Campus Kinal) — Inauguración de la Iniciativa de Vinculación, Networking Directivo y Recorrido por Talleres TSU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592"/>
        <w:gridCol w:w="6768"/>
      </w:tblGrid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Eje y Duración: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Apertura Institucional e Inmersión Técnica  |  4 Horas (240 min)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Objetivo Específico: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Conoce en profundidad la propuesta formativa integral de Kinal, establece vínculos de diálogo directivo y comprueba in situ la capacidad de los laboratorios de educación técnica superior.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Apertura: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Apertura (30 min): Recepción protocolaria de los representantes empresariales en el Auditorio Ejecutivo de Fundación Kinal. Palabras de bienvenida a cargo de la Dirección de Vinculación y Dirección General. Encuadre del propósito del programa y dinámica de presentación de empresas participantes.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Desarrollo: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Desarrollo (180 min con pausa activa de 20 min): Recorrido inmersivo guiado por los complejos de formación técnica: Laboratorios de Automatización Industrial y PLCs Siemens, Robótica, Mecatrónica CNC, Redes y Telecomunicaciones, Electrónica y Talleres de Mecánica. Estudiantes de último año de TSU realizan demostraciones operativas en vivo. Mesa de trabajo preliminar: diálogo abierto sobre la disponibilidad de personal técnico calificado y los desafíos del 'Missing Middle' en las empresas.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Cierre: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Cierre (30 min): Plenaria de síntesis de la jornada, instrucciones para el acceso al aula virtual en Kinal.academy y la plataforma Microsoft Teams, y brindis de café de bienvenida.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Recursos y Plataformas: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Campus Fundación Kinal (Auditorio Ejecutivo y Complejo de Laboratorios TSU), guías impresas, estación de café.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Entregable y Evidencia: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Ficha diagnóstica preliminar de expectativas empresariales y registro formal de participación.</w:t>
            </w:r>
          </w:p>
        </w:tc>
      </w:tr>
    </w:tbl>
    <w:p>
      <w:pPr>
        <w:spacing w:before="40" w:after="80" w:line="276" w:lineRule="auto"/>
      </w:pPr>
    </w:p>
    <w:p>
      <w:pPr>
        <w:keepNext/>
        <w:spacing w:before="200" w:after="80"/>
      </w:pPr>
      <w:r>
        <w:rPr>
          <w:rFonts w:ascii="Calibri" w:hAnsi="Calibri"/>
          <w:b/>
          <w:color w:val="003366"/>
          <w:sz w:val="23"/>
        </w:rPr>
        <w:t>Sesión Virtual 1 (Semana 1 — Microsoft Teams) — Atracción, Inducción Técnica Acelerada y Retención de Talento Operativo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592"/>
        <w:gridCol w:w="6768"/>
      </w:tblGrid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Eje y Duración: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Manejo y Desarrollo de Personal Técnico  |  2 Horas (120 min)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Objetivo Específico: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Aplica técnicas contemporáneas para el reclutamiento por competencias y la estructuración de procesos de inducción que mitiguen la rotación prematura en planta.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Apertura: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Apertura (15 min): Bienvenida en Teams y pregunta detonante: '¿Cuánto le cuesta realmente a su organización la rotación de un técnico en los primeros 90 días?'. Discusión en el chat interactivo.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Desarrollo: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Desarrollo (90 min con pausa de 10 min): Exposición interactiva: por qué fracasan los perfiles de puesto tradicionales en el ámbito operativo. Metodología de descriptores por competencias demostrables (saber, saber hacer y saber ser). Estructuración de la curva de aprendizaje en 30-60-90 días. Trabajo en salas privadas de Teams: rediseño de un perfil técnico crítico para la empresa.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Cierre: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Cierre (15 min): Socialización de perfiles mejorados, conclusiones ejecutivas y asignación de la lectura sobre Factor Humano en Kinal.academy.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Recursos y Plataformas: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Microsoft Teams, salas grupales de Teams, Kinal.academy, plantilla de descriptores de puesto.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Entregable y Evidencia: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Descriptor de puesto técnico por competencias demostrables y esquema de inducción acelerada.</w:t>
            </w:r>
          </w:p>
        </w:tc>
      </w:tr>
    </w:tbl>
    <w:p>
      <w:pPr>
        <w:spacing w:before="40" w:after="80" w:line="276" w:lineRule="auto"/>
      </w:pPr>
    </w:p>
    <w:p>
      <w:pPr>
        <w:keepNext/>
        <w:spacing w:before="200" w:after="80"/>
      </w:pPr>
      <w:r>
        <w:rPr>
          <w:rFonts w:ascii="Calibri" w:hAnsi="Calibri"/>
          <w:b/>
          <w:color w:val="003366"/>
          <w:sz w:val="23"/>
        </w:rPr>
        <w:t>Sesión Virtual 2 (Semana 2 — Microsoft Teams) — Dignidad en el Trabajo, el Principio del «Trabajo Bien Hecho» y Erradicación del Maltrato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592"/>
        <w:gridCol w:w="6768"/>
      </w:tblGrid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Eje y Duración: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Liderazgo y Factor Humano en Cuadrillas  |  2 Horas (120 min)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Objetivo Específico: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Formula políticas y protocolos de liderazgo humanista para erradicar el maltrato en cuadrillas de taller y promover la excelencia y seguridad psicológica.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Apertura: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Apertura (15 min): Presentación del video testimonial: 'El sello del técnico de Kinal en la industria'. Reflexión sobre el trabajo como ámbito de dignidad y servicio.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Desarrollo: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Desarrollo (90 min con pausa de 10 min): La filosofía del Factor Humano de Fundación Kinal y sus 4 pilares: Respeto a la Dignidad, Trabajo Bien Hecho (orden 5S, custodia de maquinaria y precisión moral), Espíritu de Servicio y Libertad Responsable. Análisis del caso: 'El costo oculto de la supervisión autoritaria en planta'. Cómo generar seguridad psicológica para que los operarios reporten averías e incidentes inmediatamente sin temor a represalias.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Cierre: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Cierre (15 min): Síntesis de buenas prácticas de liderazgo, pautas para el protocolo de cero maltrato y preparación del siguiente eje en Kinal.academy.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Recursos y Plataformas: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Microsoft Teams, pizarras digitales, casos de estudio industrial de Kinal, Kinal.academy.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Entregable y Evidencia: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Borrador de Código de Convivencia Operativa y Protocolo de Tolerancia Cero al Maltrato en Planta.</w:t>
            </w:r>
          </w:p>
        </w:tc>
      </w:tr>
    </w:tbl>
    <w:p>
      <w:pPr>
        <w:spacing w:before="40" w:after="80" w:line="276" w:lineRule="auto"/>
      </w:pPr>
    </w:p>
    <w:p>
      <w:pPr>
        <w:keepNext/>
        <w:spacing w:before="200" w:after="80"/>
      </w:pPr>
      <w:r>
        <w:rPr>
          <w:rFonts w:ascii="Calibri" w:hAnsi="Calibri"/>
          <w:b/>
          <w:color w:val="003366"/>
          <w:sz w:val="23"/>
        </w:rPr>
        <w:t>Sesión Virtual 3 (Semana 3 — Microsoft Teams) — Estándares Internacionales (DQR 5-6), el Valor del TSU y Semilleros de Formación Dual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592"/>
        <w:gridCol w:w="6768"/>
      </w:tblGrid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Eje y Duración: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Fortalecimiento de Competencias Técnicas y Formación Dual  |  2 Horas (120 min)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Objetivo Específico: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Comprende la correspondencia de cualificaciones del Técnico Superior Universitario y diseña esquemas de semilleros duales con tutores de empresa (Ausbilder).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Apertura: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Apertura (15 min): Sondeo interactivo: '¿Ha experimentado la frustración de contratar a un ingeniero para operar una máquina y que renuncie a los 6 meses?'. Debate inicial.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Desarrollo: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Desarrollo (90 min con pausa de 10 min): Marco Alemán de Cualificaciones (DQR Niveles 5 y 6 / Meister). Comparativa de perfiles: Ingeniero (diseño y estrategia) vs TSU (supervisión, programación de PLCs y resolución de averías en campo) vs Operario empírico. Modelado del Retorno de Inversión (ROI): ahorro por reducción de MTTR y merma. Fundamentos del Sistema Dual en alternancia y el rol del tutor en planta (*Ausbilder*).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Cierre: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Cierre (15 min): Pautas para la articulación de convenios de semilleros de aprendizaje con Fundación Kinal y consignas de trabajo.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Recursos y Plataformas: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Microsoft Teams, calculadora de ROI en Excel, matriz comparativa DQR, Kinal.academy.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Entregable y Evidencia: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Propuesta conceptual de semillero técnico dual y perfil del tutor empresarial de planta.</w:t>
            </w:r>
          </w:p>
        </w:tc>
      </w:tr>
    </w:tbl>
    <w:p>
      <w:pPr>
        <w:spacing w:before="40" w:after="80" w:line="276" w:lineRule="auto"/>
      </w:pPr>
    </w:p>
    <w:p>
      <w:pPr>
        <w:keepNext/>
        <w:spacing w:before="200" w:after="80"/>
      </w:pPr>
      <w:r>
        <w:rPr>
          <w:rFonts w:ascii="Calibri" w:hAnsi="Calibri"/>
          <w:b/>
          <w:color w:val="003366"/>
          <w:sz w:val="23"/>
        </w:rPr>
        <w:t>Sesión Virtual 4 (Semana 4 — Microsoft Teams) — Herramientas para Supervisores de Primera Línea, KPIs Operativos y Demandas de la Industria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592"/>
        <w:gridCol w:w="6768"/>
      </w:tblGrid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Eje y Duración: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Desarrollo de Mandos Medios y Necesidades Actuales  |  2 Horas (120 min)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Objetivo Específico: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Estructura un plan de fortalecimiento para mandos medios que vincule el factor humano con indicadores de productividad (OEE) y consolida la ficha de diagnóstico empresarial.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Apertura: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Apertura (15 min): Encuadre: el supervisor de taller como articulador clave entre la estrategia gerencial y el piso operativo.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Desarrollo: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Desarrollo (90 min con pausa de 10 min): Habilidades formativas para mandos medios: comunicación asertiva, retroalimentación correctiva sin humillar y manejo de conflictos en equipo. Diseño de 'Las Charlas de 10 Minutos de Factor Humano' antes de arrancar el turno. Nuevas tendencias tecnológicas (Industria 4.0, IoT y automatización) y su impacto en las destrezas requeridas. Revisión de la Ficha Diagnóstica de Necesidades de la Industria.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Cierre: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Cierre (15 min): Instrucciones protocolarias para la Jornada Presencial de Cierre, entrega de diplomas y reconocimientos en campus Kinal.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Recursos y Plataformas: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Microsoft Teams, guía de micro-charlas de valores, formato de diagnóstico de necesidades, Kinal.academy.</w:t>
            </w:r>
          </w:p>
        </w:tc>
      </w:tr>
      <w:tr>
        <w:tc>
          <w:tcPr>
            <w:tcW w:type="dxa" w:w="4680"/>
            <w:shd w:fill="F7FAFC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Entregable y Evidencia: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Ficha de Diagnóstico de Necesidades Industriales completada y catálogo de 5 micro-charlas de Factor Humano.</w:t>
            </w:r>
          </w:p>
        </w:tc>
      </w:tr>
    </w:tbl>
    <w:p>
      <w:pPr>
        <w:spacing w:before="40" w:after="80" w:line="276" w:lineRule="auto"/>
      </w:pPr>
    </w:p>
    <w:p>
      <w:pPr>
        <w:keepNext/>
        <w:spacing w:before="200" w:after="80"/>
      </w:pPr>
      <w:r>
        <w:rPr>
          <w:rFonts w:ascii="Calibri" w:hAnsi="Calibri"/>
          <w:b/>
          <w:color w:val="003366"/>
          <w:sz w:val="23"/>
        </w:rPr>
        <w:t>Jornada Presencial Especial 2 (Campus Kinal) — Mesa Redonda Plenaria Kinal-Empresas, Entrega de Diplomas y Reconocimientos Institucionales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592"/>
        <w:gridCol w:w="6768"/>
      </w:tblGrid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Eje y Duración: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Diálogo Industria-Academia, Reconocimientos y Clausura  |  4 Horas (240 min)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Objetivo Específico: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Participa activamente en la sistematización de demandas formativas de la industria y recibe el diploma de participación y reconocimiento corporativo de Fundación Kinal.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Apertura: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Apertura (20 min): Bienvenida protocolaria en Auditorio Ejecutivo por el Consejo Directivo y Directores Académicos de Kinal.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Desarrollo: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Desarrollo (190 min con pausa de 20 min): Mesa Redonda Plenaria: 'Construyendo el futuro de la educación técnica en Guatemala'. Presentación de los hallazgos consolidados de las fichas diagnósticas: qué competencias técnicas y humanas demanda prioritariamente el sector industrial. Diálogo abierto con las autoridades de Kinal para la retroalimentación de planes de estudio y actualización de carreras. Firma de compromisos y convenios marco de vinculación (bolsa de empleo y semilleros duales).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Secuencia Didáctica — Cierre: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Cierre (30 min): Acto solemne de clausura: Entrega de Diplomas de Participación a los representantes empresariales y entrega de Reconocimientos Empresariales Especiales a las empresas aliadas. Brindis de honor y networking directivo.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Recursos y Plataformas: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Auditorio Ejecutivo de Kinal, actas de evaluación, diplomas oficiales encuadernados, placas de reconocimiento empresarial, cóctel.</w:t>
            </w:r>
          </w:p>
        </w:tc>
      </w:tr>
      <w:tr>
        <w:tc>
          <w:tcPr>
            <w:tcW w:type="dxa" w:w="4680"/>
            <w:shd w:fill="EBF8FF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7"/>
              </w:rPr>
              <w:t>Entregable y Evidencia:</w:t>
            </w:r>
          </w:p>
        </w:tc>
        <w:tc>
          <w:tcPr>
            <w:tcW w:type="dxa" w:w="4680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Diplomas de Participación y Reconocimientos Empresariales oficialmente entregados (Acreditación institucional &gt;= 75 Pts).</w:t>
            </w:r>
          </w:p>
        </w:tc>
      </w:tr>
    </w:tbl>
    <w:p>
      <w:pPr>
        <w:spacing w:before="40" w:after="80" w:line="276" w:lineRule="auto"/>
      </w:pPr>
    </w:p>
    <w:p>
      <w:r>
        <w:br w:type="page"/>
      </w: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7"/>
        </w:rPr>
        <w:t>3. Instrumentos de Acreditación, Rúbrica y Ficha Diagnóstica de la Industria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00" w:type="dxa"/>
              <w:left w:w="140" w:type="dxa"/>
              <w:bottom w:w="100" w:type="dxa"/>
              <w:right w:w="140" w:type="dxa"/>
            </w:tcMar>
            <w:tcBorders>
              <w:top w:val="none"/>
              <w:left w:val="single" w:sz="24" w:space="0" w:color="003366"/>
              <w:bottom w:val="none"/>
              <w:right w:val="none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9"/>
              </w:rPr>
              <w:t xml:space="preserve">Requisitos de Acreditación Institucional: </w:t>
            </w:r>
            <w:r>
              <w:rPr>
                <w:rFonts w:ascii="Calibri" w:hAnsi="Calibri"/>
                <w:i/>
                <w:color w:val="2D3748"/>
                <w:sz w:val="19"/>
              </w:rPr>
              <w:t>Para recibir el Diploma de Participación Individual y el Reconocimiento Empresarial Institucional de Fundación Kinal, el representante debe cumplir con un mínimo del 80% de asistencia sincrónica y alcanzar una calificación mínima de 75 puntos sobre 100 en la entrega de sus productos aplicativos y participación en el diálogo de vinculación.</w:t>
            </w:r>
          </w:p>
        </w:tc>
      </w:tr>
    </w:tbl>
    <w:p>
      <w:pPr>
        <w:spacing w:after="120"/>
      </w:pPr>
    </w:p>
    <w:p>
      <w:pPr>
        <w:keepNext/>
        <w:spacing w:before="200" w:after="80"/>
      </w:pPr>
      <w:r>
        <w:rPr>
          <w:rFonts w:ascii="Calibri" w:hAnsi="Calibri"/>
          <w:b/>
          <w:color w:val="003366"/>
          <w:sz w:val="23"/>
        </w:rPr>
        <w:t>3.1 Rúbrica Analítica de Acreditación y Participación Ejecutiva (100 Puntos)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2592"/>
        <w:gridCol w:w="1440"/>
        <w:gridCol w:w="3168"/>
        <w:gridCol w:w="2160"/>
      </w:tblGrid>
      <w:tr>
        <w:tc>
          <w:tcPr>
            <w:tcW w:type="dxa" w:w="2340"/>
            <w:shd w:fill="003366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Criterio Evaluado</w:t>
            </w:r>
          </w:p>
        </w:tc>
        <w:tc>
          <w:tcPr>
            <w:tcW w:type="dxa" w:w="2340"/>
            <w:shd w:fill="003366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Ponderación</w:t>
            </w:r>
          </w:p>
        </w:tc>
        <w:tc>
          <w:tcPr>
            <w:tcW w:type="dxa" w:w="2340"/>
            <w:shd w:fill="003366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Desempeño Excelente (Estándar Kinal)</w:t>
            </w:r>
          </w:p>
        </w:tc>
        <w:tc>
          <w:tcPr>
            <w:tcW w:type="dxa" w:w="2340"/>
            <w:shd w:fill="003366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Desempeño Insuficiente (&lt; 75%)</w:t>
            </w:r>
          </w:p>
        </w:tc>
      </w:tr>
      <w:tr>
        <w:tc>
          <w:tcPr>
            <w:tcW w:type="dxa" w:w="2340"/>
            <w:shd w:fill="F7FAFC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Participación en Sesiones y Aporte al Diálogo</w:t>
            </w:r>
          </w:p>
        </w:tc>
        <w:tc>
          <w:tcPr>
            <w:tcW w:type="dxa" w:w="2340"/>
            <w:shd w:fill="F7FAFC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25 Puntos</w:t>
            </w:r>
          </w:p>
        </w:tc>
        <w:tc>
          <w:tcPr>
            <w:tcW w:type="dxa" w:w="2340"/>
            <w:shd w:fill="F7FAFC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Participa activamente en las 2 jornadas presenciales y sesiones en Teams, compartiendo la realidad operativa y desafíos de su organización.</w:t>
            </w:r>
          </w:p>
        </w:tc>
        <w:tc>
          <w:tcPr>
            <w:tcW w:type="dxa" w:w="2340"/>
            <w:shd w:fill="F7FAFC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Inasistencia injustificada o participación pasiva sin retroalimentación al diálogo (&lt; 18.7 pts).</w:t>
            </w:r>
          </w:p>
        </w:tc>
      </w:tr>
      <w:tr>
        <w:tc>
          <w:tcPr>
            <w:tcW w:type="dxa" w:w="2340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Descriptor por Competencias y Plan de Inducción</w:t>
            </w:r>
          </w:p>
        </w:tc>
        <w:tc>
          <w:tcPr>
            <w:tcW w:type="dxa" w:w="2340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25 Puntos</w:t>
            </w:r>
          </w:p>
        </w:tc>
        <w:tc>
          <w:tcPr>
            <w:tcW w:type="dxa" w:w="2340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Redacta un descriptor técnico riguroso basado en competencias demostrables (saber, hacer, ser) y esquema de onboarding acelerado.</w:t>
            </w:r>
          </w:p>
        </w:tc>
        <w:tc>
          <w:tcPr>
            <w:tcW w:type="dxa" w:w="2340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Descriptor genérico basado en requisitos burocráticos sin criterios de evaluación técnica (&lt; 18.7 pts).</w:t>
            </w:r>
          </w:p>
        </w:tc>
      </w:tr>
      <w:tr>
        <w:tc>
          <w:tcPr>
            <w:tcW w:type="dxa" w:w="2340"/>
            <w:shd w:fill="F7FAFC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Protocolo de Factor Humano y Charlas Operativas</w:t>
            </w:r>
          </w:p>
        </w:tc>
        <w:tc>
          <w:tcPr>
            <w:tcW w:type="dxa" w:w="2340"/>
            <w:shd w:fill="F7FAFC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25 Puntos</w:t>
            </w:r>
          </w:p>
        </w:tc>
        <w:tc>
          <w:tcPr>
            <w:tcW w:type="dxa" w:w="2340"/>
            <w:shd w:fill="F7FAFC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Propone directrices claras de cero tolerancia al maltrato en planta, seguridad psicológica y diseña 5 micro-charlas de valores.</w:t>
            </w:r>
          </w:p>
        </w:tc>
        <w:tc>
          <w:tcPr>
            <w:tcW w:type="dxa" w:w="2340"/>
            <w:shd w:fill="F7FAFC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Planteamiento abstracto sin aplicación práctica a las dinámicas de taller o cuadrilla (&lt; 18.7 pts).</w:t>
            </w:r>
          </w:p>
        </w:tc>
      </w:tr>
      <w:tr>
        <w:tc>
          <w:tcPr>
            <w:tcW w:type="dxa" w:w="2340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Ficha de Diagnóstico de Necesidades Industriales</w:t>
            </w:r>
          </w:p>
        </w:tc>
        <w:tc>
          <w:tcPr>
            <w:tcW w:type="dxa" w:w="2340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6"/>
              </w:rPr>
              <w:t>25 Puntos</w:t>
            </w:r>
          </w:p>
        </w:tc>
        <w:tc>
          <w:tcPr>
            <w:tcW w:type="dxa" w:w="2340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Aporta información detallada sobre las tecnologías emergentes, competencias técnicas y humanas demandadas en su sector para retroalimentar a Kinal.</w:t>
            </w:r>
          </w:p>
        </w:tc>
        <w:tc>
          <w:tcPr>
            <w:tcW w:type="dxa" w:w="2340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6"/>
              </w:rPr>
              <w:t>Ficha incompleta, superficial o sin datos sobre las brechas reales de cualificación técnica (&lt; 18.7 pts).</w:t>
            </w:r>
          </w:p>
        </w:tc>
      </w:tr>
    </w:tbl>
    <w:p>
      <w:pPr>
        <w:keepNext/>
        <w:spacing w:before="200" w:after="80"/>
      </w:pPr>
      <w:r>
        <w:rPr>
          <w:rFonts w:ascii="Calibri" w:hAnsi="Calibri"/>
          <w:b/>
          <w:color w:val="003366"/>
          <w:sz w:val="23"/>
        </w:rPr>
        <w:t>3.2 Ficha Diagnóstica: Levantamiento de Necesidades Actuales de la Industria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none"/>
          <w:right w:val="none"/>
          <w:insideH w:val="single" w:sz="4" w:space="0" w:color="CBD5E0"/>
          <w:insideV w:val="none"/>
        </w:tblBorders>
      </w:tblPr>
      <w:tblGrid>
        <w:gridCol w:w="3312"/>
        <w:gridCol w:w="6048"/>
      </w:tblGrid>
      <w:tr>
        <w:tc>
          <w:tcPr>
            <w:tcW w:type="dxa" w:w="4680"/>
            <w:shd w:fill="F7FAFC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8"/>
              </w:rPr>
              <w:t>Datos de la Empresa y Representante:</w:t>
            </w:r>
          </w:p>
        </w:tc>
        <w:tc>
          <w:tcPr>
            <w:tcW w:type="dxa" w:w="4680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8"/>
              </w:rPr>
              <w:t>Empresa: _______________________________ | Sector Productivo: _______________________</w:t>
              <w:br/>
              <w:t>Representante: ___________________________ | Cargo Directivo: _________________________</w:t>
            </w:r>
          </w:p>
        </w:tc>
      </w:tr>
      <w:tr>
        <w:tc>
          <w:tcPr>
            <w:tcW w:type="dxa" w:w="4680"/>
            <w:shd w:fill="F7FAFC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8"/>
              </w:rPr>
              <w:t>Competencias Técnicas más Escasas:</w:t>
            </w:r>
          </w:p>
        </w:tc>
        <w:tc>
          <w:tcPr>
            <w:tcW w:type="dxa" w:w="4680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8"/>
              </w:rPr>
              <w:t>Principales dificultades técnicas observadas al contratar personal operativo (PLCs, calibración, mecánica, redes, etc.): __________________________________________________________________</w:t>
            </w:r>
          </w:p>
        </w:tc>
      </w:tr>
      <w:tr>
        <w:tc>
          <w:tcPr>
            <w:tcW w:type="dxa" w:w="4680"/>
            <w:shd w:fill="F7FAFC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8"/>
              </w:rPr>
              <w:t>Brechas en Mandos Medios y Factor Humano:</w:t>
            </w:r>
          </w:p>
        </w:tc>
        <w:tc>
          <w:tcPr>
            <w:tcW w:type="dxa" w:w="4680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8"/>
              </w:rPr>
              <w:t>Habilidades humanas y de liderazgo más necesarias en supervisores de planta (comunicación, respeto, trabajo bien hecho, etc.): _______________________________________________</w:t>
            </w:r>
          </w:p>
        </w:tc>
      </w:tr>
      <w:tr>
        <w:tc>
          <w:tcPr>
            <w:tcW w:type="dxa" w:w="4680"/>
            <w:shd w:fill="F7FAFC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8"/>
              </w:rPr>
              <w:t>Tecnologías Emergentes en su Planta:</w:t>
            </w:r>
          </w:p>
        </w:tc>
        <w:tc>
          <w:tcPr>
            <w:tcW w:type="dxa" w:w="4680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8"/>
              </w:rPr>
              <w:t>Nuevas maquinarias, protocolos o tecnologías a incorporar en los próximos 1-3 años (Industria 4.0, IoT, robótica, etc.): _____________________________________________________</w:t>
            </w:r>
          </w:p>
        </w:tc>
      </w:tr>
      <w:tr>
        <w:tc>
          <w:tcPr>
            <w:tcW w:type="dxa" w:w="4680"/>
            <w:shd w:fill="F7FAFC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8"/>
              </w:rPr>
              <w:t>Modalidad de Vinculación de Interés:</w:t>
            </w:r>
          </w:p>
        </w:tc>
        <w:tc>
          <w:tcPr>
            <w:tcW w:type="dxa" w:w="4680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8"/>
              </w:rPr>
              <w:t>[  ] Semilleros de Formación Dual    [  ] Pasantías TSU    [  ] Bolsa de Empleo Kinal    [  ] Capacitación a la medida</w:t>
            </w:r>
          </w:p>
        </w:tc>
      </w:tr>
      <w:tr>
        <w:tc>
          <w:tcPr>
            <w:tcW w:type="dxa" w:w="4680"/>
            <w:shd w:fill="F7FAFC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8"/>
              </w:rPr>
              <w:t>Validación y Entrega:</w:t>
            </w:r>
          </w:p>
        </w:tc>
        <w:tc>
          <w:tcPr>
            <w:tcW w:type="dxa" w:w="4680"/>
            <w:tcMar>
              <w:top w:w="55" w:type="dxa"/>
              <w:left w:w="75" w:type="dxa"/>
              <w:bottom w:w="55" w:type="dxa"/>
              <w:right w:w="75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8"/>
              </w:rPr>
              <w:t>Firma Representante Empresarial: _________________ | Vo.Bo. Dirección Vinculación Kinal: _________________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76" w:lineRule="auto"/>
      <w:jc w:val="right"/>
    </w:pPr>
    <w:r>
      <w:rPr>
        <w:rFonts w:ascii="Calibri" w:hAnsi="Calibri"/>
        <w:color w:val="4A5568"/>
        <w:sz w:val="17"/>
      </w:rPr>
      <w:t>Fundación Kinal | Programa Ejecutivo de Vinculación en Talento Técnico — Dosificación Oficial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