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00" w:after="40" w:line="276" w:lineRule="auto"/>
      </w:pPr>
      <w:r>
        <w:rPr>
          <w:rFonts w:ascii="Calibri" w:hAnsi="Calibri"/>
          <w:b/>
          <w:color w:val="003366"/>
          <w:sz w:val="28"/>
        </w:rPr>
        <w:t>FUNDACIÓN KINAL</w:t>
      </w:r>
    </w:p>
    <w:p>
      <w:pPr>
        <w:spacing w:before="0" w:after="360" w:line="276" w:lineRule="auto"/>
      </w:pPr>
      <w:r>
        <w:rPr>
          <w:rFonts w:ascii="Calibri" w:hAnsi="Calibri"/>
          <w:color w:val="4A5568"/>
          <w:sz w:val="22"/>
        </w:rPr>
        <w:t>Dirección de Vinculación Empresarial — Escuela Técnica Superior</w:t>
      </w:r>
    </w:p>
    <w:p>
      <w:pPr>
        <w:spacing w:before="200" w:after="160" w:line="276" w:lineRule="auto"/>
      </w:pPr>
      <w:r>
        <w:rPr>
          <w:rFonts w:ascii="Calibri" w:hAnsi="Calibri"/>
          <w:b/>
          <w:color w:val="003366"/>
          <w:sz w:val="32"/>
        </w:rPr>
        <w:t>PROPUESTA FORMATIVA Y MODELO DE VINCULACIÓN EMPRESARIAL:</w:t>
        <w:br/>
        <w:t>PROGRAMA EJECUTIVO EN GESTIÓN DEL TALENTO TÉCNICO, LIDERAZGO Y FACTOR HUMANO</w:t>
      </w:r>
    </w:p>
    <w:p>
      <w:pPr>
        <w:spacing w:before="0" w:after="360" w:line="276" w:lineRule="auto"/>
      </w:pPr>
      <w:r>
        <w:rPr>
          <w:rFonts w:ascii="Calibri" w:hAnsi="Calibri"/>
          <w:i/>
          <w:color w:val="4A5568"/>
          <w:sz w:val="22"/>
        </w:rPr>
        <w:t>Iniciativa Institucional de Diálogo y Fortalecimiento para Líderes de Equipos y Mandos Medios frente a las Demandas Actuales de la Industria (1 Mes de Duración | Modalidad Virtual Semanal + 2 Jornadas Presenciales Especiales)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5E0"/>
          <w:bottom w:val="single" w:sz="6" w:space="0" w:color="CBD5E0"/>
          <w:insideH w:val="single" w:sz="6" w:space="0" w:color="CBD5E0"/>
          <w:insideV w:val="none"/>
          <w:left w:val="none"/>
          <w:right w:val="none"/>
        </w:tblBorders>
      </w:tblPr>
      <w:tblGrid>
        <w:gridCol w:w="3312"/>
        <w:gridCol w:w="6048"/>
      </w:tblGrid>
      <w:tr>
        <w:tc>
          <w:tcPr>
            <w:tcW w:type="dxa" w:w="4680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9"/>
              </w:rPr>
              <w:t>Naturaleza del Programa: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9"/>
              </w:rPr>
              <w:t>Iniciativa de vinculación empresarial y fortalecimiento directivo en gestión del talento operativo</w:t>
            </w:r>
          </w:p>
        </w:tc>
      </w:tr>
      <w:tr>
        <w:tc>
          <w:tcPr>
            <w:tcW w:type="dxa" w:w="4680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9"/>
              </w:rPr>
              <w:t>Población Destinataria: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9"/>
              </w:rPr>
              <w:t>Representantes empresariales: Gerentes Generales, Gerentes de Operaciones/Planta, Directores de Talento Humano / RRHH, Reclutadores y Mandos Medios con equipos a su cargo</w:t>
            </w:r>
          </w:p>
        </w:tc>
      </w:tr>
      <w:tr>
        <w:tc>
          <w:tcPr>
            <w:tcW w:type="dxa" w:w="4680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9"/>
              </w:rPr>
              <w:t>Duración Total: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9"/>
              </w:rPr>
              <w:t>1 mes de duración (4 semanas) | 16 horas de contacto directo sincrónico/presencial + 4 horas de autodiagnóstico empresarial (20 horas formativas ejecutivas totales)</w:t>
            </w:r>
          </w:p>
        </w:tc>
      </w:tr>
      <w:tr>
        <w:tc>
          <w:tcPr>
            <w:tcW w:type="dxa" w:w="4680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9"/>
              </w:rPr>
              <w:t>Modalidad Híbrida Ejecutiva: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9"/>
              </w:rPr>
              <w:t>Híbrida: 1 sesión virtual semanal de 2 horas en Microsoft Teams (8h virtuales) + 2 jornadas presenciales especiales en campus Kinal (8h presenciales)</w:t>
            </w:r>
          </w:p>
        </w:tc>
      </w:tr>
      <w:tr>
        <w:tc>
          <w:tcPr>
            <w:tcW w:type="dxa" w:w="4680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9"/>
              </w:rPr>
              <w:t>Jornadas Presenciales Especiales: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9"/>
              </w:rPr>
              <w:t>1) Sesión Inicial de Apertura y Presentación de la Iniciativa (Kinal) | 2) Jornada de Cierre, Diálogo Industria-Academia y Entrega de Diplomas y Reconocimientos (Kinal)</w:t>
            </w:r>
          </w:p>
        </w:tc>
      </w:tr>
      <w:tr>
        <w:tc>
          <w:tcPr>
            <w:tcW w:type="dxa" w:w="4680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9"/>
              </w:rPr>
              <w:t>Ejes Temáticos Centrales: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9"/>
              </w:rPr>
              <w:t>Manejo y desarrollo de personal, Liderazgo y factor humano, Fortalecimiento de competencias técnicas, Desarrollo de mandos medios, Necesidades actuales de la industria</w:t>
            </w:r>
          </w:p>
        </w:tc>
      </w:tr>
      <w:tr>
        <w:tc>
          <w:tcPr>
            <w:tcW w:type="dxa" w:w="4680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9"/>
              </w:rPr>
              <w:t>Acreditación y Reconocimiento: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9"/>
              </w:rPr>
              <w:t>Diploma de Participación Institucional y Reconocimiento Empresarial otorgado por Fundación Kinal a la empresa y a su representante (Aprobación &gt;= 75 pts)</w:t>
            </w:r>
          </w:p>
        </w:tc>
      </w:tr>
      <w:tr>
        <w:tc>
          <w:tcPr>
            <w:tcW w:type="dxa" w:w="4680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9"/>
              </w:rPr>
              <w:t>Sede Presencial: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9"/>
              </w:rPr>
              <w:t>Fundación Kinal — Auditorio Ejecutivo y Complejo de Talleres y Laboratorios TSU, Zona 7, Ciudad de Guatemala</w:t>
            </w:r>
          </w:p>
        </w:tc>
      </w:tr>
    </w:tbl>
    <w:p>
      <w:r>
        <w:br w:type="page"/>
      </w:r>
    </w:p>
    <w:p>
      <w:pPr>
        <w:keepNext/>
        <w:spacing w:before="320" w:after="120"/>
      </w:pPr>
      <w:r>
        <w:rPr>
          <w:rFonts w:ascii="Calibri" w:hAnsi="Calibri"/>
          <w:b/>
          <w:color w:val="003366"/>
          <w:sz w:val="30"/>
        </w:rPr>
        <w:t>1. Marco Institucional e Ideario de Fundación Kinal</w:t>
      </w:r>
    </w:p>
    <w:p>
      <w:pPr>
        <w:spacing w:before="0" w:after="120" w:line="276" w:lineRule="auto"/>
      </w:pPr>
      <w:r>
        <w:rPr>
          <w:rFonts w:ascii="Calibri" w:hAnsi="Calibri"/>
          <w:color w:val="1A202C"/>
          <w:sz w:val="21"/>
        </w:rPr>
        <w:t>Fundación Kinal impulsa esta iniciativa directiva sustentada en su vocación histórica de servicio a la sociedad guatemalteca, integrando la excelencia técnica y operativa con el cultivo permanente de los valores humanos fundamentales: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Mar>
              <w:top w:w="120" w:type="dxa"/>
              <w:bottom w:w="120" w:type="dxa"/>
              <w:left w:w="180" w:type="dxa"/>
              <w:right w:w="120" w:type="dxa"/>
            </w:tcMar>
            <w:tcBorders>
              <w:left w:val="single" w:sz="24" w:space="0" w:color="003366"/>
              <w:top w:val="none"/>
              <w:bottom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20"/>
              </w:rPr>
              <w:t xml:space="preserve">Misión Institucional de Kinal: </w:t>
            </w:r>
            <w:r>
              <w:rPr>
                <w:rFonts w:ascii="Calibri" w:hAnsi="Calibri"/>
                <w:i/>
                <w:color w:val="2D3748"/>
                <w:sz w:val="20"/>
              </w:rPr>
              <w:t>«Formar a jóvenes y adultos a través de una educación integral, con énfasis en las áreas técnicas y tecnológicas, influyendo positivamente en su trabajo, su familia y la sociedad».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Mar>
              <w:top w:w="120" w:type="dxa"/>
              <w:bottom w:w="120" w:type="dxa"/>
              <w:left w:w="180" w:type="dxa"/>
              <w:right w:w="120" w:type="dxa"/>
            </w:tcMar>
            <w:tcBorders>
              <w:left w:val="single" w:sz="24" w:space="0" w:color="003366"/>
              <w:top w:val="none"/>
              <w:bottom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20"/>
              </w:rPr>
              <w:t xml:space="preserve">Valores Nucleares de Kinal: </w:t>
            </w:r>
            <w:r>
              <w:rPr>
                <w:rFonts w:ascii="Calibri" w:hAnsi="Calibri"/>
                <w:i/>
                <w:color w:val="2D3748"/>
                <w:sz w:val="20"/>
              </w:rPr>
              <w:t>«Visión cristiana de la vida. Respeto a la dignidad de la persona. Espíritu de servicio. Trabajo bien hecho. Libertad personal responsable».</w:t>
            </w:r>
          </w:p>
        </w:tc>
      </w:tr>
    </w:tbl>
    <w:p>
      <w:pPr>
        <w:spacing w:before="0" w:after="80"/>
      </w:pPr>
    </w:p>
    <w:p>
      <w:pPr>
        <w:keepNext/>
        <w:spacing w:before="240" w:after="80"/>
      </w:pPr>
      <w:r>
        <w:rPr>
          <w:rFonts w:ascii="Calibri" w:hAnsi="Calibri"/>
          <w:b/>
          <w:color w:val="003366"/>
          <w:sz w:val="25"/>
        </w:rPr>
        <w:t>1.1 El Factor Humano: La Columna Vertebral de la Cultura Operativa</w:t>
      </w:r>
    </w:p>
    <w:p>
      <w:pPr>
        <w:spacing w:before="0" w:after="120" w:line="276" w:lineRule="auto"/>
      </w:pPr>
      <w:r>
        <w:rPr>
          <w:rFonts w:ascii="Calibri" w:hAnsi="Calibri"/>
          <w:color w:val="1A202C"/>
          <w:sz w:val="20"/>
        </w:rPr>
        <w:t>En Fundación Kinal, el **Factor Humano** es una rama de formación humana laica y universal que acompaña a todos los procesos formativos y de vinculación con la empresa. En este programa para representantes empresariales, el Factor Humano se traduce en directrices operativas concretas:</w:t>
        <w:br/>
        <w:t>• Respeto Irrenunciable a la Dignidad de la Persona: Desterrar en forma definitiva el maltrato verbal, el autoritarismo, el sarcasmo y los climas hostiles en cuadrillas de planta y taller. Reconocer que los operarios y mandos medios merecen un liderazgo justo, formador y empático.</w:t>
        <w:br/>
        <w:t>• El Principio del «Trabajo Bien Hecho»: La calidad cotidiana entendida como estándar ético y deber profesional: orden riguroso (5S), custodia celosa de la maquinaria, veracidad absoluta en registros de calidad y orgullo por la obra bien terminada.</w:t>
        <w:br/>
        <w:t>• Libertad Personal Responsable: Fomentar colaboradores maduros y autónomos que actúan por convicción técnica y moral, reduciendo la necesidad de supervisión policiaca.</w:t>
        <w:br/>
        <w:t>• Espíritu de Servicio y Solidaridad: La cooperación activa entre departamentos (producción, mantenimiento y calidad) para superar silos organizacionales.</w:t>
      </w:r>
    </w:p>
    <w:p>
      <w:pPr>
        <w:keepNext/>
        <w:spacing w:before="320" w:after="120"/>
      </w:pPr>
      <w:r>
        <w:rPr>
          <w:rFonts w:ascii="Calibri" w:hAnsi="Calibri"/>
          <w:b/>
          <w:color w:val="003366"/>
          <w:sz w:val="30"/>
        </w:rPr>
        <w:t>2. Fundamentación Estratégica: Vinculación y Diálogo Industria-Academia</w:t>
      </w:r>
    </w:p>
    <w:p>
      <w:pPr>
        <w:spacing w:before="0" w:after="120" w:line="276" w:lineRule="auto"/>
      </w:pPr>
      <w:r>
        <w:rPr>
          <w:rFonts w:ascii="Calibri" w:hAnsi="Calibri"/>
          <w:color w:val="1A202C"/>
          <w:sz w:val="20"/>
        </w:rPr>
        <w:t>Esta iniciativa responde a una necesidad sentida y compartida entre el sector industrial y la educación técnica superior:</w:t>
        <w:br/>
        <w:t>• Conocer de Primera Mano las Necesidades Actuales de la Industria: Las tecnologías operativas (automatización, IoT industrial, redes, robótica y manufactura) evolucionan con rapidez. Kinal abre este espacio de diálogo para identificar exactamente qué competencias técnicas y humanas demandan hoy las empresas más dinámicas.</w:t>
        <w:br/>
        <w:t>• Fortalecer a los Profesionales que Lideran Equipos de Trabajo: Muchos supervisores de taller y mandos medios ascienden por sus destrezas técnicas pero carecen de herramientas formales para el manejo de personal, la resolución constructiva de conflictos y el liderazgo motivador.</w:t>
        <w:br/>
        <w:t>• Superar el Dilema del Talento Técnico (Sub vs Sobrecualificación): El sector industrial suele oscilar entre contratar operarios empíricos que no dominan diagnóstico analítico o ingenieros universitarios que se frustran en el trabajo de piso y rotan a los pocos meses. El programa visibiliza el rol del **Técnico Superior Universitario (TSU)** como solución de alto impacto y estabilidad a largo plazo.</w:t>
        <w:br/>
        <w:t>• Retroalimentación para la Formación de Estudiantes y Egresados: El diálogo directo con los gerentes permite a Kinal afinar sus mallas curriculares, garantizando que los graduandos salgan al mercado con el perfil exacto que el aparato productivo nacional requiere.</w:t>
      </w:r>
    </w:p>
    <w:p>
      <w:pPr>
        <w:keepNext/>
        <w:spacing w:before="320" w:after="120"/>
      </w:pPr>
      <w:r>
        <w:rPr>
          <w:rFonts w:ascii="Calibri" w:hAnsi="Calibri"/>
          <w:b/>
          <w:color w:val="003366"/>
          <w:sz w:val="30"/>
        </w:rPr>
        <w:t>3. Marco Alemán DQR y Formación Profesional Dual en Alternancia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Mar>
              <w:top w:w="120" w:type="dxa"/>
              <w:bottom w:w="120" w:type="dxa"/>
              <w:left w:w="180" w:type="dxa"/>
              <w:right w:w="120" w:type="dxa"/>
            </w:tcMar>
            <w:tcBorders>
              <w:left w:val="single" w:sz="24" w:space="0" w:color="003366"/>
              <w:top w:val="none"/>
              <w:bottom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20"/>
              </w:rPr>
              <w:t xml:space="preserve">Definición de Formación Profesional Dual: </w:t>
            </w:r>
            <w:r>
              <w:rPr>
                <w:rFonts w:ascii="Calibri" w:hAnsi="Calibri"/>
                <w:i/>
                <w:color w:val="2D3748"/>
                <w:sz w:val="20"/>
              </w:rPr>
              <w:t>«concepto de aprendizaje para jóvenes que tiene como objetivo preparar a los aprendices para su vida profesional, por lo que la formación se realiza en régimen de alternancia entre la escuela o el centro de formación y la empresa. El aprender en el proceso del trabajo es base y a la vez objetivo de la acción formativa».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Mar>
              <w:top w:w="120" w:type="dxa"/>
              <w:bottom w:w="120" w:type="dxa"/>
              <w:left w:w="180" w:type="dxa"/>
              <w:right w:w="120" w:type="dxa"/>
            </w:tcMar>
            <w:tcBorders>
              <w:left w:val="single" w:sz="24" w:space="0" w:color="003366"/>
              <w:top w:val="none"/>
              <w:bottom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20"/>
              </w:rPr>
              <w:t xml:space="preserve">Concepto de Competencia según el DQR: </w:t>
            </w:r>
            <w:r>
              <w:rPr>
                <w:rFonts w:ascii="Calibri" w:hAnsi="Calibri"/>
                <w:i/>
                <w:color w:val="2D3748"/>
                <w:sz w:val="20"/>
              </w:rPr>
              <w:t>«the ability and readiness of the individual to use knowledge, skills and personal, social and methodological competences and to behave in a considered, individual and socially responsible manner. Competence is understood in this sense as the comprehensive ability to act».</w:t>
            </w:r>
          </w:p>
        </w:tc>
      </w:tr>
    </w:tbl>
    <w:p>
      <w:pPr>
        <w:spacing w:before="0" w:after="80"/>
      </w:pPr>
    </w:p>
    <w:p>
      <w:pPr>
        <w:spacing w:before="0" w:after="120" w:line="276" w:lineRule="auto"/>
      </w:pPr>
      <w:r>
        <w:rPr>
          <w:rFonts w:ascii="Calibri" w:hAnsi="Calibri"/>
          <w:color w:val="1A202C"/>
          <w:sz w:val="20"/>
        </w:rPr>
        <w:t>El programa comparte con los líderes empresariales cómo los estándares duales alemanes (DQR Niveles 5 y 6 / Meister) se aterrizan con éxito en Guatemala a través de convenios de aprendizaje, tutores empresariales (*Ausbilder*) y semilleros de talento en la propia planta.</w:t>
      </w:r>
    </w:p>
    <w:p>
      <w:pPr>
        <w:keepNext/>
        <w:spacing w:before="320" w:after="120"/>
      </w:pPr>
      <w:r>
        <w:rPr>
          <w:rFonts w:ascii="Calibri" w:hAnsi="Calibri"/>
          <w:b/>
          <w:color w:val="003366"/>
          <w:sz w:val="30"/>
        </w:rPr>
        <w:t>4. Competencia General y Perfil de los Participantes</w:t>
      </w:r>
    </w:p>
    <w:p>
      <w:pPr>
        <w:spacing w:before="0" w:after="120" w:line="276" w:lineRule="auto"/>
      </w:pPr>
      <w:r>
        <w:rPr>
          <w:rFonts w:ascii="Calibri" w:hAnsi="Calibri"/>
          <w:b/>
          <w:color w:val="003366"/>
          <w:sz w:val="20"/>
        </w:rPr>
        <w:t>Competencia General del Programa:</w:t>
        <w:br/>
        <w:t>El participante aplica herramientas directivas contemporáneas para el manejo, desarrollo y liderazgo de personal técnico y mandos medios, integrando la cultura del Factor Humano y el estándar del «trabajo bien hecho» en sus cuadrillas operativas, y participa activamente en el diálogo de vinculación industria-academia para identificar y fortalecer las competencias técnicas y humanas demandadas por el sector productivo.</w:t>
      </w:r>
    </w:p>
    <w:p>
      <w:pPr>
        <w:spacing w:before="80" w:after="120" w:line="276" w:lineRule="auto"/>
      </w:pPr>
      <w:r>
        <w:rPr>
          <w:rFonts w:ascii="Calibri" w:hAnsi="Calibri"/>
          <w:color w:val="1A202C"/>
          <w:sz w:val="20"/>
        </w:rPr>
        <w:t>• Perfil de Ingreso: Representantes de empresas con responsabilidad sobre equipos de trabajo: Gerentes Generales, Gerentes de Operaciones, Planta o Mantenimiento, Directores/Gerentes de Talento Humano y Recursos Humanos, Reclutadores Técnicos y Supervisores Generales de sectores como manufactura, agroindustria, plásticos, alimentos, telecomunicaciones, energía y servicios técnicos.</w:t>
        <w:br/>
        <w:t>• Perfil de Egreso: Líder empresarial actualizado con visión integral del talento técnico, capaz de liderar a sus mandos medios con empatía y exigencia profesional, erradicar el maltrato en planta, estructurar semilleros de aprendizaje y vincular a su organización en alianzas estratégicas de empleabilidad con Fundación Kinal.</w:t>
      </w:r>
    </w:p>
    <w:p>
      <w:pPr>
        <w:keepNext/>
        <w:spacing w:before="320" w:after="120"/>
      </w:pPr>
      <w:r>
        <w:rPr>
          <w:rFonts w:ascii="Calibri" w:hAnsi="Calibri"/>
          <w:b/>
          <w:color w:val="003366"/>
          <w:sz w:val="30"/>
        </w:rPr>
        <w:t>5. Estructura Formativa Oficial (1 Mes de Duración | Híbrido Ejecutivo)</w:t>
      </w:r>
    </w:p>
    <w:p>
      <w:pPr>
        <w:spacing w:before="0" w:after="120" w:line="276" w:lineRule="auto"/>
      </w:pPr>
      <w:r>
        <w:rPr>
          <w:rFonts w:ascii="Calibri" w:hAnsi="Calibri"/>
          <w:color w:val="1A202C"/>
          <w:sz w:val="20"/>
        </w:rPr>
        <w:t>El programa ha sido diseñado para maximizar el aprovechamiento del tiempo de los ejecutivos y representantes empresariales, articulando **1 sesión semanal virtual** a lo largo de un mes con **2 jornadas presenciales especiales** en las instalaciones de Fundación Kinal: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insideH w:val="single" w:sz="4" w:space="0" w:color="CBD5E0"/>
          <w:insideV w:val="none"/>
          <w:left w:val="none"/>
          <w:right w:val="none"/>
        </w:tblBorders>
      </w:tblPr>
      <w:tblGrid>
        <w:gridCol w:w="1872"/>
        <w:gridCol w:w="3168"/>
        <w:gridCol w:w="1008"/>
        <w:gridCol w:w="1584"/>
        <w:gridCol w:w="1728"/>
      </w:tblGrid>
      <w:tr>
        <w:tc>
          <w:tcPr>
            <w:tcW w:type="dxa" w:w="1872"/>
            <w:shd w:fill="003366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Encuentro / Modalidad</w:t>
            </w:r>
          </w:p>
        </w:tc>
        <w:tc>
          <w:tcPr>
            <w:tcW w:type="dxa" w:w="1872"/>
            <w:shd w:fill="003366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Nombre del Módulo / Actividad</w:t>
            </w:r>
          </w:p>
        </w:tc>
        <w:tc>
          <w:tcPr>
            <w:tcW w:type="dxa" w:w="1872"/>
            <w:shd w:fill="003366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Horas</w:t>
            </w:r>
          </w:p>
        </w:tc>
        <w:tc>
          <w:tcPr>
            <w:tcW w:type="dxa" w:w="1872"/>
            <w:shd w:fill="003366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Formato / Plataforma</w:t>
            </w:r>
          </w:p>
        </w:tc>
        <w:tc>
          <w:tcPr>
            <w:tcW w:type="dxa" w:w="1872"/>
            <w:shd w:fill="003366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Producto Observable</w:t>
            </w:r>
          </w:p>
        </w:tc>
      </w:tr>
      <w:tr>
        <w:tc>
          <w:tcPr>
            <w:tcW w:type="dxa" w:w="1872"/>
            <w:shd w:fill="EBF8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Jornada Especial 1 (Presencial)</w:t>
            </w:r>
          </w:p>
        </w:tc>
        <w:tc>
          <w:tcPr>
            <w:tcW w:type="dxa" w:w="1872"/>
            <w:shd w:fill="EBF8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Apertura Institucional, Presentación de la Iniciativa y Recorrido por Talleres de Kinal</w:t>
            </w:r>
          </w:p>
        </w:tc>
        <w:tc>
          <w:tcPr>
            <w:tcW w:type="dxa" w:w="1872"/>
            <w:shd w:fill="EBF8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4 Horas</w:t>
            </w:r>
          </w:p>
        </w:tc>
        <w:tc>
          <w:tcPr>
            <w:tcW w:type="dxa" w:w="1872"/>
            <w:shd w:fill="EBF8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Presencial en Campus Kinal (Sábado o Mañana Ejecutiva)</w:t>
            </w:r>
          </w:p>
        </w:tc>
        <w:tc>
          <w:tcPr>
            <w:tcW w:type="dxa" w:w="1872"/>
            <w:shd w:fill="EBF8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Encuadre de Vinculación y Diagnóstico Preliminar de Expectativas</w:t>
            </w:r>
          </w:p>
        </w:tc>
      </w:tr>
      <w:tr>
        <w:tc>
          <w:tcPr>
            <w:tcW w:type="dxa" w:w="187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Semana 1 / Sesión Virtual 1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Manejo y Desarrollo de Personal Técnico: Retención, 'Missing Middle' y Curva de Aprendizaje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2 Horas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Virtual Sincrónico (Microsoft Teams)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Mapa de Brechas Operativas y Plan de Inducción Técnica</w:t>
            </w:r>
          </w:p>
        </w:tc>
      </w:tr>
      <w:tr>
        <w:tc>
          <w:tcPr>
            <w:tcW w:type="dxa" w:w="1872"/>
            <w:shd w:fill="F7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Semana 2 / Sesión Virtual 2</w:t>
            </w:r>
          </w:p>
        </w:tc>
        <w:tc>
          <w:tcPr>
            <w:tcW w:type="dxa" w:w="1872"/>
            <w:shd w:fill="F7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Liderazgo y Factor Humano: Dignidad, Trabajo Bien Hecho y Erradicación del Maltrato</w:t>
            </w:r>
          </w:p>
        </w:tc>
        <w:tc>
          <w:tcPr>
            <w:tcW w:type="dxa" w:w="1872"/>
            <w:shd w:fill="F7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2 Horas</w:t>
            </w:r>
          </w:p>
        </w:tc>
        <w:tc>
          <w:tcPr>
            <w:tcW w:type="dxa" w:w="1872"/>
            <w:shd w:fill="F7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Virtual Sincrónico (Microsoft Teams)</w:t>
            </w:r>
          </w:p>
        </w:tc>
        <w:tc>
          <w:tcPr>
            <w:tcW w:type="dxa" w:w="1872"/>
            <w:shd w:fill="F7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Código de Convivencia Operativa y Protocolo Cero Maltrato</w:t>
            </w:r>
          </w:p>
        </w:tc>
      </w:tr>
      <w:tr>
        <w:tc>
          <w:tcPr>
            <w:tcW w:type="dxa" w:w="187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Semana 3 / Sesión Virtual 3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Fortalecimiento de Competencias Técnicas: Estándares DQR 5-6, TSU y Formación Dual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2 Horas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Virtual Sincrónico (Microsoft Teams)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Matriz de Competencias Operativas y Esquema de Rotación Dual</w:t>
            </w:r>
          </w:p>
        </w:tc>
      </w:tr>
      <w:tr>
        <w:tc>
          <w:tcPr>
            <w:tcW w:type="dxa" w:w="1872"/>
            <w:shd w:fill="F7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Semana 4 / Sesión Virtual 4</w:t>
            </w:r>
          </w:p>
        </w:tc>
        <w:tc>
          <w:tcPr>
            <w:tcW w:type="dxa" w:w="1872"/>
            <w:shd w:fill="F7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Desarrollo de Mandos Medios y Necesidades Actuales de la Industria</w:t>
            </w:r>
          </w:p>
        </w:tc>
        <w:tc>
          <w:tcPr>
            <w:tcW w:type="dxa" w:w="1872"/>
            <w:shd w:fill="F7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2 Horas</w:t>
            </w:r>
          </w:p>
        </w:tc>
        <w:tc>
          <w:tcPr>
            <w:tcW w:type="dxa" w:w="1872"/>
            <w:shd w:fill="F7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Virtual Sincrónico (Microsoft Teams)</w:t>
            </w:r>
          </w:p>
        </w:tc>
        <w:tc>
          <w:tcPr>
            <w:tcW w:type="dxa" w:w="1872"/>
            <w:shd w:fill="F7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Plan de Fortalecimiento de Supervisores y Métricas Operativas (OEE/SSO)</w:t>
            </w:r>
          </w:p>
        </w:tc>
      </w:tr>
      <w:tr>
        <w:tc>
          <w:tcPr>
            <w:tcW w:type="dxa" w:w="1872"/>
            <w:shd w:fill="EBF8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Jornada Especial 2 (Presencial)</w:t>
            </w:r>
          </w:p>
        </w:tc>
        <w:tc>
          <w:tcPr>
            <w:tcW w:type="dxa" w:w="1872"/>
            <w:shd w:fill="EBF8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Plenaria de Diálogo Industria-Academia, Entrega de Diplomas y Reconocimientos</w:t>
            </w:r>
          </w:p>
        </w:tc>
        <w:tc>
          <w:tcPr>
            <w:tcW w:type="dxa" w:w="1872"/>
            <w:shd w:fill="EBF8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4 Horas</w:t>
            </w:r>
          </w:p>
        </w:tc>
        <w:tc>
          <w:tcPr>
            <w:tcW w:type="dxa" w:w="1872"/>
            <w:shd w:fill="EBF8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Presencial en Campus Kinal (Sábado o Mañana Ejecutiva)</w:t>
            </w:r>
          </w:p>
        </w:tc>
        <w:tc>
          <w:tcPr>
            <w:tcW w:type="dxa" w:w="1872"/>
            <w:shd w:fill="EBF8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Consolidado de Demandas Técnicas y Diplomas Oficiales Entregados</w:t>
            </w:r>
          </w:p>
        </w:tc>
      </w:tr>
    </w:tbl>
    <w:p>
      <w:pPr>
        <w:spacing w:before="160" w:after="120" w:line="276" w:lineRule="auto"/>
      </w:pPr>
      <w:r>
        <w:rPr>
          <w:rFonts w:ascii="Calibri" w:hAnsi="Calibri"/>
          <w:color w:val="1A202C"/>
          <w:sz w:val="19"/>
        </w:rPr>
        <w:t>Balance de la Carga Horaria y Formativa:</w:t>
        <w:br/>
        <w:t>• 8 Horas Presenciales Vivenciales (2 Jornadas Especiales en Kinal): Jornada Inicial de Apertura (4h) para presentar la iniciativa, networking y recorrido de laboratorios; Jornada de Cierre (4h) para plenaria de diálogo industria-academia, entrega solemne de diplomas y reconocimientos, y cóctel de vinculación.</w:t>
        <w:br/>
        <w:t>• 8 Horas Virtuales Sincrónicas en Microsoft Teams: 4 sesiones semanales de 2 horas (1 sesión por semana) dedicadas a herramientas de gestión, liderazgo, factor humano y mandos medios.</w:t>
        <w:br/>
        <w:t>• 4 Horas de Autodiagnóstico en Kinal.academy (Moodle): Ficha de levantamiento de necesidades de cualificación y plan de mejora operativa.</w:t>
        <w:br/>
        <w:t>• Total: 20 Horas Formativas Ejecutivas.</w:t>
      </w:r>
    </w:p>
    <w:p>
      <w:pPr>
        <w:keepNext/>
        <w:spacing w:before="320" w:after="120"/>
      </w:pPr>
      <w:r>
        <w:rPr>
          <w:rFonts w:ascii="Calibri" w:hAnsi="Calibri"/>
          <w:b/>
          <w:color w:val="003366"/>
          <w:sz w:val="30"/>
        </w:rPr>
        <w:t>6. Articulación de los 5 Ejes Temáticos del Programa</w:t>
      </w:r>
    </w:p>
    <w:p>
      <w:pPr>
        <w:spacing w:before="40" w:after="80" w:line="276" w:lineRule="auto"/>
        <w:ind w:left="288"/>
      </w:pPr>
      <w:r>
        <w:rPr>
          <w:rFonts w:ascii="Calibri" w:hAnsi="Calibri"/>
          <w:b/>
          <w:color w:val="003366"/>
          <w:sz w:val="19"/>
        </w:rPr>
        <w:t xml:space="preserve">• 1. Manejo y Desarrollo de Personal: </w:t>
      </w:r>
      <w:r>
        <w:rPr>
          <w:rFonts w:ascii="Calibri" w:hAnsi="Calibri"/>
          <w:color w:val="1A202C"/>
          <w:sz w:val="19"/>
        </w:rPr>
        <w:t>Métodos modernos de atracción, onboarding e inducción técnica. Identificación temprana de talento operativo, diseño de curvas de aprendizaje y reducción de la rotación en líneas de producción y talleres.</w:t>
      </w:r>
    </w:p>
    <w:p>
      <w:pPr>
        <w:spacing w:before="40" w:after="80" w:line="276" w:lineRule="auto"/>
        <w:ind w:left="288"/>
      </w:pPr>
      <w:r>
        <w:rPr>
          <w:rFonts w:ascii="Calibri" w:hAnsi="Calibri"/>
          <w:b/>
          <w:color w:val="003366"/>
          <w:sz w:val="19"/>
        </w:rPr>
        <w:t xml:space="preserve">• 2. Liderazgo y Factor Humano: </w:t>
      </w:r>
      <w:r>
        <w:rPr>
          <w:rFonts w:ascii="Calibri" w:hAnsi="Calibri"/>
          <w:color w:val="1A202C"/>
          <w:sz w:val="19"/>
        </w:rPr>
        <w:t>La filosofía del Factor Humano de Fundación Kinal aplicada a cuadrillas: dignidad de la persona, erradicación del maltrato verbal y autoritarismo, fomento del «trabajo bien hecho» y desarrollo de seguridad psicológica.</w:t>
      </w:r>
    </w:p>
    <w:p>
      <w:pPr>
        <w:spacing w:before="40" w:after="80" w:line="276" w:lineRule="auto"/>
        <w:ind w:left="288"/>
      </w:pPr>
      <w:r>
        <w:rPr>
          <w:rFonts w:ascii="Calibri" w:hAnsi="Calibri"/>
          <w:b/>
          <w:color w:val="003366"/>
          <w:sz w:val="19"/>
        </w:rPr>
        <w:t xml:space="preserve">• 3. Fortalecimiento de Competencias Técnicas: </w:t>
      </w:r>
      <w:r>
        <w:rPr>
          <w:rFonts w:ascii="Calibri" w:hAnsi="Calibri"/>
          <w:color w:val="1A202C"/>
          <w:sz w:val="19"/>
        </w:rPr>
        <w:t>Mapeo de cualificaciones bajo el Marco Alemán DQR 5-6. Demostración práctica del valor del Técnico Superior Universitario (TSU) y estructuración de semilleros duales escuela-empresa.</w:t>
      </w:r>
    </w:p>
    <w:p>
      <w:pPr>
        <w:spacing w:before="40" w:after="80" w:line="276" w:lineRule="auto"/>
        <w:ind w:left="288"/>
      </w:pPr>
      <w:r>
        <w:rPr>
          <w:rFonts w:ascii="Calibri" w:hAnsi="Calibri"/>
          <w:b/>
          <w:color w:val="003366"/>
          <w:sz w:val="19"/>
        </w:rPr>
        <w:t xml:space="preserve">• 4. Desarrollo de Mandos Medios: </w:t>
      </w:r>
      <w:r>
        <w:rPr>
          <w:rFonts w:ascii="Calibri" w:hAnsi="Calibri"/>
          <w:color w:val="1A202C"/>
          <w:sz w:val="19"/>
        </w:rPr>
        <w:t>Herramientas formativas para supervisores, jefes de taller y jefes de turno: comunicación asertiva, resolución de conflictos de equipo, liderazgo pedagógico en el puesto (*Ausbilder*) y medición de KPIs (OEE, SSO).</w:t>
      </w:r>
    </w:p>
    <w:p>
      <w:pPr>
        <w:spacing w:before="40" w:after="80" w:line="276" w:lineRule="auto"/>
        <w:ind w:left="288"/>
      </w:pPr>
      <w:r>
        <w:rPr>
          <w:rFonts w:ascii="Calibri" w:hAnsi="Calibri"/>
          <w:b/>
          <w:color w:val="003366"/>
          <w:sz w:val="19"/>
        </w:rPr>
        <w:t xml:space="preserve">• 5. Necesidades Actuales de la Industria y Vinculación Bidireccional: </w:t>
      </w:r>
      <w:r>
        <w:rPr>
          <w:rFonts w:ascii="Calibri" w:hAnsi="Calibri"/>
          <w:color w:val="1A202C"/>
          <w:sz w:val="19"/>
        </w:rPr>
        <w:t>Espacios formales de diálogo estructurado donde las empresas participantes comparten con las autoridades de Kinal sus requerimientos inmediatos y futuros en tecnología, automatización y destrezas humanas.</w:t>
      </w:r>
    </w:p>
    <w:p>
      <w:pPr>
        <w:keepNext/>
        <w:spacing w:before="320" w:after="120"/>
      </w:pPr>
      <w:r>
        <w:rPr>
          <w:rFonts w:ascii="Calibri" w:hAnsi="Calibri"/>
          <w:b/>
          <w:color w:val="003366"/>
          <w:sz w:val="30"/>
        </w:rPr>
        <w:t>7. Acreditación Institucional, Diplomas y Reconocimientos</w:t>
      </w:r>
    </w:p>
    <w:p>
      <w:pPr>
        <w:spacing w:before="0" w:after="120" w:line="276" w:lineRule="auto"/>
      </w:pPr>
      <w:r>
        <w:rPr>
          <w:rFonts w:ascii="Calibri" w:hAnsi="Calibri"/>
          <w:color w:val="1A202C"/>
          <w:sz w:val="20"/>
        </w:rPr>
        <w:t>En la Jornada Presencial de Cierre en campus Kinal se realizará un acto protocolario especial con dos distinciones oficiales:</w:t>
        <w:br/>
        <w:t>1. Diploma de Participación Individual: Otorgado al representante empresarial que cumplió con el 80% de asistencia a las sesiones sincrónicas y la entrega de su ficha diagnóstica (con nota mínima aprobatoria institucional de 75/100 puntos).</w:t>
        <w:br/>
        <w:t>2. Reconocimiento Empresarial Institucional: Galardón emitido por Fundación Kinal a la empresa participante, acreditándola como «Empresa Aliada en la Vinculación Técnica y Formación del Talento Humano», con acceso prioritario a la Bolsa de Egresados y convenios de formación dual.</w:t>
      </w:r>
    </w:p>
    <w:p>
      <w:pPr>
        <w:keepNext/>
        <w:spacing w:before="320" w:after="120"/>
      </w:pPr>
      <w:r>
        <w:rPr>
          <w:rFonts w:ascii="Calibri" w:hAnsi="Calibri"/>
          <w:b/>
          <w:color w:val="003366"/>
          <w:sz w:val="30"/>
        </w:rPr>
        <w:t>8. Ecosistema Digital e Infraestructura Institucional</w:t>
      </w:r>
    </w:p>
    <w:p>
      <w:pPr>
        <w:spacing w:before="0" w:after="120" w:line="276" w:lineRule="auto"/>
      </w:pPr>
      <w:r>
        <w:rPr>
          <w:rFonts w:ascii="Calibri" w:hAnsi="Calibri"/>
          <w:color w:val="1A202C"/>
          <w:sz w:val="19"/>
        </w:rPr>
        <w:t>En cumplimiento de los estándares institucionales de Fundación Kinal:</w:t>
        <w:br/>
        <w:t>• Plataforma Virtual Sincrónica: Microsoft Teams para las 4 sesiones semanales interactivas, con salas para dinámicas grupales y grabación de respaldo.</w:t>
        <w:br/>
        <w:t>• Plataforma LMS Oficial: Kinal.academy (Moodle) para la gestión del material de lectura, instrumentos de autodiagnóstico y levantamiento de necesidades de la industria.</w:t>
        <w:br/>
        <w:t>• Instalaciones Presenciales en Kinal: Auditorio Ejecutivo climatizado con soporte audiovisual de alta fidelidad, salas de coworking directivo y visita inmersiva a los Laboratorios de Automatización Siemens, Mecatrónica CNC, Electrónica, Redes y Talleres Industriales.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76" w:lineRule="auto"/>
      <w:jc w:val="right"/>
    </w:pPr>
    <w:r>
      <w:rPr>
        <w:rFonts w:ascii="Calibri" w:hAnsi="Calibri"/>
        <w:color w:val="4A5568"/>
        <w:sz w:val="17"/>
      </w:rPr>
      <w:t>Fundación Kinal | Programa Ejecutivo de Vinculación en Talento Técnico y Factor Humano — Propuesta Oficial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