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 w:line="276" w:lineRule="auto"/>
      </w:pPr>
      <w:r>
        <w:rPr>
          <w:rFonts w:ascii="Calibri" w:hAnsi="Calibri"/>
          <w:b/>
          <w:color w:val="003366"/>
          <w:sz w:val="28"/>
        </w:rPr>
        <w:t>FUNDACIÓN KINAL</w:t>
      </w:r>
    </w:p>
    <w:p>
      <w:pPr>
        <w:spacing w:before="0" w:after="400" w:line="276" w:lineRule="auto"/>
      </w:pPr>
      <w:r>
        <w:rPr>
          <w:rFonts w:ascii="Calibri" w:hAnsi="Calibri"/>
          <w:color w:val="4A5568"/>
          <w:sz w:val="22"/>
        </w:rPr>
        <w:t>Escuela Técnica Superior — Coordinación de Formación Continua y Empleabilidad</w:t>
      </w:r>
    </w:p>
    <w:p>
      <w:pPr>
        <w:spacing w:before="280" w:after="200" w:line="276" w:lineRule="auto"/>
      </w:pPr>
      <w:r>
        <w:rPr>
          <w:rFonts w:ascii="Calibri" w:hAnsi="Calibri"/>
          <w:b/>
          <w:color w:val="003366"/>
          <w:sz w:val="36"/>
        </w:rPr>
        <w:t>PLANIFICACIÓN Y PROPUESTA FORMATIVA INSTITUCIONAL:</w:t>
        <w:br/>
        <w:t>AUTOMATIZACIÓN Y CONTROL ELÉCTRICO INDUSTRIAL CON PLC Y VARIADORES DE FRECUENCIA (VFD)</w:t>
      </w:r>
    </w:p>
    <w:p>
      <w:pPr>
        <w:spacing w:before="0" w:after="400" w:line="276" w:lineRule="auto"/>
      </w:pPr>
      <w:r>
        <w:rPr>
          <w:rFonts w:ascii="Calibri" w:hAnsi="Calibri"/>
          <w:i/>
          <w:color w:val="4A5568"/>
          <w:sz w:val="23"/>
        </w:rPr>
        <w:t>Programa de Certificación Técnica Profesional para la Operación, Parametrización y Comisionamiento en Plantas Industriales de Guatemala (120 Horas — 20 Sesiones)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insideH w:val="single" w:sz="6" w:space="0" w:color="CBD5E0"/>
          <w:insideV w:val="none"/>
          <w:left w:val="none"/>
          <w:right w:val="none"/>
        </w:tblBorders>
      </w:tblPr>
      <w:tblGrid>
        <w:gridCol w:w="3168"/>
        <w:gridCol w:w="6192"/>
      </w:tblGrid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Nivel Formativo de Referencia: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Equivalencia DQR Nivel 4 - 5 (Competencia técnica especializada y autonomía operativa)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Población Destinataria: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Técnicos electricistas, electromecánicos, peritos industriales y supervisores de mantenimiento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Duración Total: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120 horas formativas (20 sesiones de 6 horas / 360 min; 110h de actividad neta de laboratorio)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Modalidad de Impartición: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Híbrida Asimétrica: 80% Práctica en Bancos Reales de Kinal (96h) y 20% Plataforma Virtual LMS (24h)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Estructura de Horarios: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Encuentros sabatinos de 1:00 p.m. a 7:00 p.m. o domingos intensivos (adaptado a turnos de planta)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Orientación de Empleabilidad: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Técnico especialista en automatización, electricista de planta, integrador de tableros industriales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Nota Mínima Aprobatoria: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75 puntos sobre 100 en todas las comprobaciones de banco, rúbricas de cableado y proyecto terminal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Sede Presencial: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Fundación Kinal — Laboratorios de Electrotecnia y Automatización, Sede Central, Zona 7, Ciudad de Guatemala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1. Marco Filosófico e Ideario Institucional de Fundación Kinal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1"/>
        </w:rPr>
        <w:t>El diseño formativo de esta certificación técnica se fundamenta de forma irrenunciable en la visión cristiana del trabajo y en los principios pedagógicos e institucionales que caracterizan a Fundación Kinal: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Misión Institucional de Kinal: </w:t>
            </w:r>
            <w:r>
              <w:rPr>
                <w:rFonts w:ascii="Calibri" w:hAnsi="Calibri"/>
                <w:i/>
                <w:color w:val="2D3748"/>
                <w:sz w:val="20"/>
              </w:rPr>
              <w:t>«Formar a jóvenes y adultos a través de una educación integral, con énfasis en las áreas técnicas y tecnológicas, influyendo positivamente en su trabajo, su familia y la sociedad».</w:t>
            </w:r>
          </w:p>
        </w:tc>
      </w:tr>
    </w:tbl>
    <w:p>
      <w:pPr>
        <w:spacing w:before="0"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Valores Nucleares de Kinal: </w:t>
            </w:r>
            <w:r>
              <w:rPr>
                <w:rFonts w:ascii="Calibri" w:hAnsi="Calibri"/>
                <w:i/>
                <w:color w:val="2D3748"/>
                <w:sz w:val="20"/>
              </w:rPr>
              <w:t>«Visión cristiana de la vida. Respeto a la dignidad de la persona. Espíritu de servicio. Trabajo bien hecho. Libertad personal responsable».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1.1 El Principio del «Trabajo Bien Hecho» en el Control Eléctrico y Automatización Industrial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En el ámbito del control eléctrico industrial y la automatización de procesos, la ética profesional y la excelencia operativa trascienden la mera operatividad de una máquina. Una conexión deficiente o un mal dimensionamiento no solo causa pérdidas millonarias por paradas de producción, sino que compromete la integridad física y la vida de los operadores. En este programa, el «trabajo bien hecho» se traduce en exigencias innegociables:</w:t>
        <w:br/>
        <w:t>• Rigor y Estética Profesional en el Cableado: Peinado milimétrico de conductores, uso obligatorio de terminales de compresión (ferrules), rotulado alfanumérico indeleble bajo norma en cada borne y peinado en canaleta ranurada sin cruces desordenados ni cables forzados.</w:t>
        <w:br/>
        <w:t>• Seguridad de Vida y Cero Tolerancia al Descuido: Aplicación estricta de protocolos de Bloqueo y Etiquetado (LOTO), verificación de desenergización con multímetro calibrado antes de cualquier manipulación y cumplimiento exhaustivo de las distancias de seguridad contra arco eléctrico (NFPA 70E).</w:t>
        <w:br/>
        <w:t>• Honestidad y Trazabilidad Técnica: Registro fiel en planos «As-Built» de cada modificación realizada en planta, documentación veraz de fallas y códigos de error, sin ocultar averías ni realizar 'puentes' provisionales inseguros que vulneren las protecciones térmicas o paradas de emergencia.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2. Fundamentación Técnica, Enfoque Pedagógico y Caso Transversal de Planta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A diferencia de capacitaciones tradicionales basadas en pizarrón o diapositivas desarticuladas, este programa adopta un enfoque de ingeniería práctica guiado por el contexto productivo de Guatemala (parques industriales de Mixco, Villa Nueva, Amatitlán, Escuintla y Carretera al Atlántico):</w:t>
        <w:br/>
        <w:t>• Caso Transversal de Planta: Línea Continua de Embotellado y Empaque Automatizado: A lo largo de las 20 sesiones, los participantes desarrollan e integran modularmente el sistema electromecánico y de control de una línea de transporte y envasado. Se inicia con el dimensionamiento del tablero de fuerza y contactores, se prosigue con el control suave de velocidad y torque de bandas transportadoras mediante variadores VFD, se implementa la lógica combinacional y secuencial en PLC con sensórica industrial, culminando en la supervisión y diagnóstico de fallas inducidas en tiempo real.</w:t>
        <w:br/>
        <w:t>• Práctica Directa en Banco Físico Individual y de Pareja: Cada participante trabaja con tableros de grado industrial, equipados con aparamenta real (Schneider / Siemens / ABB), motores trifásicos de inducción acoplados, variadores de frecuencia y autómatas programables Siemens S7-1200 y LOGO!.</w:t>
        <w:br/>
        <w:t>• Metodología de la Acción Completa: Cada sesión reproduce las 6 etapas del método alemán: Informarse, Planificar, Decidir, Realizar, Controlar y Evaluar, desarrollando autonomía técnica y juicio crítico en diagnóstico sistemático.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3. Marco Alemán de Cualificaciones (DQR Nivel 4-5) y Enfoque Dual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Definición de Formación Profesional Dual: </w:t>
            </w:r>
            <w:r>
              <w:rPr>
                <w:rFonts w:ascii="Calibri" w:hAnsi="Calibri"/>
                <w:i/>
                <w:color w:val="2D3748"/>
                <w:sz w:val="20"/>
              </w:rPr>
              <w:t>«concepto de aprendizaje para jóvenes que tiene como objetivo preparar a los aprendices para su vida profesional, por lo que la formación se realiza en régimen de alternancia entre la escuela o el centro de formación y la empresa. El aprender en el proceso del trabajo es base y a la vez objetivo de la acción formativa».</w:t>
            </w:r>
          </w:p>
        </w:tc>
      </w:tr>
    </w:tbl>
    <w:p>
      <w:pPr>
        <w:spacing w:before="0"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Concepto de Competencia en el DQR: </w:t>
            </w:r>
            <w:r>
              <w:rPr>
                <w:rFonts w:ascii="Calibri" w:hAnsi="Calibri"/>
                <w:i/>
                <w:color w:val="2D3748"/>
                <w:sz w:val="20"/>
              </w:rPr>
              <w:t>«the ability and readiness of the individual to use knowledge, skills and personal, social and methodological competences and to behave in a considered, individual and socially responsible manner. Competence is understood in this sense as the comprehensive ability to act».</w:t>
            </w:r>
          </w:p>
        </w:tc>
      </w:tr>
    </w:tbl>
    <w:p>
      <w:pPr>
        <w:spacing w:before="0" w:after="120" w:line="276" w:lineRule="auto"/>
      </w:pP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El programa articula las dos dimensiones maestras de competencia del Marco Alemán de Cualificaciones:</w:t>
        <w:br/>
        <w:t>1. Dimensión de Competencia Profesional (Professional Competence):</w:t>
        <w:br/>
        <w:t xml:space="preserve">   • Conocimientos (Knowledge): Dominio riguroso de leyes eléctricas, diagramas bajo norma IEC 60617 / NEMA, arquitectura interna de PLCs, modulación PWM en variadores y protocolos de comunicación industrial (PROFINET / Modbus RTU).</w:t>
        <w:br/>
        <w:t xml:space="preserve">   • Destrezas (Skills): Habilidad manual para cableado pulcro de tableros, uso diestro de instrumental (multímetros True-RMS, pinzas amperimétricas, tacómetros digitales), programación en Ladder estructurado y resolución metódica de averías bajo presión temporal.</w:t>
        <w:br/>
        <w:t>2. Dimensión de Competencia Personal (Personal Competence):</w:t>
        <w:br/>
        <w:t xml:space="preserve">   • Competencia Social (Social Competence): Trabajo colaborativo en cuadrilla técnica, comunicación asertiva en handover de turnos y reporte claro a jefaturas de planta.</w:t>
        <w:br/>
        <w:t xml:space="preserve">   • Autonomía (Autonomy): Responsabilidad autónoma para verificar la seguridad de una instalación, reflexividad técnica para justificar elecciones de diseño y apego voluntario a las normas de seguridad ocupacional.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4. Competencia General y Perfiles del Participante</w:t>
      </w:r>
    </w:p>
    <w:p>
      <w:pPr>
        <w:spacing w:before="0" w:after="120" w:line="276" w:lineRule="auto"/>
      </w:pPr>
      <w:r>
        <w:rPr>
          <w:rFonts w:ascii="Calibri" w:hAnsi="Calibri"/>
          <w:b/>
          <w:color w:val="003366"/>
          <w:sz w:val="20"/>
        </w:rPr>
        <w:t>Competencia General del Programa:</w:t>
        <w:br/>
        <w:t>El egresado dimensiona, ensambla, cablea, parametriza y programa sistemas de control eléctrico y fuerza para procesos industriales continuos, utilizando contactores, variadores de frecuencia (VFD) y controladores lógicos programables (PLC Siemens S7-1200 / LOGO!), aplicando estrictamente las normativas de seguridad eléctrica (NFPA 70E / NEC), interpretando diagramas bajo norma IEC/NEMA y demostrando un estándar de «trabajo bien hecho», orden y diagnóstico metódico de averías en banco de pruebas real.</w:t>
      </w:r>
    </w:p>
    <w:p>
      <w:pPr>
        <w:spacing w:before="80" w:after="120" w:line="276" w:lineRule="auto"/>
      </w:pPr>
      <w:r>
        <w:rPr>
          <w:rFonts w:ascii="Calibri" w:hAnsi="Calibri"/>
          <w:color w:val="1A202C"/>
          <w:sz w:val="20"/>
        </w:rPr>
        <w:t>• Perfil de Ingreso: Técnicos electricistas, electromecánicos, peritos en electricidad o electrónica, bachilleres industriales o personal empírico con un mínimo de 1 año de experiencia en mantenimiento de plantas o talleres. Requiere comprensión de circuitos eléctricos básicos (Ley de Ohm, corriente alterna monofásica/trifásica) y manejo elemental de computadora.</w:t>
        <w:br/>
        <w:t>• Perfil de Egreso y Empleabilidad: Técnico especialista capacitado para integrarse de inmediato a departamentos de mantenimiento eléctrico, instrumentación o proyectos en fábricas de alimentos, plásticos, empaques, farmacéuticas y talleres de integración de tableros, con solvencia para intervenir fallas, poner en marcha motores con variador y programar rutinas de automatización en PLC con total apego a normas de seguridad.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5. Estructura Modular y Distribución Formativa (120 Horas)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1440"/>
        <w:gridCol w:w="3168"/>
        <w:gridCol w:w="1152"/>
        <w:gridCol w:w="1296"/>
        <w:gridCol w:w="2304"/>
      </w:tblGrid>
      <w:tr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Nombre de la Unidad Formativa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Horas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Sesiones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Producto Terminal del Módulo</w:t>
            </w:r>
          </w:p>
        </w:tc>
      </w:tr>
      <w:tr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1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Control Eléctrico Industrial, Mando y Diseño de Tableros de Fuerza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30 Horas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5 Sesiones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Tablero de Fuerza y Mando Ensamble Físico con Inversión de Giro y Estrella-Triángulo</w:t>
            </w:r>
          </w:p>
        </w:tc>
      </w:tr>
      <w:tr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2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Parametrización, Control y Puesta en Marcha de Variadores de Frecuencia (VFD)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30 Horas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5 Sesiones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Puesta en Marcha de VFD con Multivelocidad, Señal 4-20mA y Rampas de Frenado</w:t>
            </w:r>
          </w:p>
        </w:tc>
      </w:tr>
      <w:tr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3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Programación y Cableado de Controladores Lógicos Programables (PLC Siemens)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30 Horas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5 Sesiones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Automatización de Estación de Envasado con Sensores Industriales y PLC S7-1200</w:t>
            </w:r>
          </w:p>
        </w:tc>
      </w:tr>
      <w:tr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4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Integración Automatizada, Redes Industriales y Diagnóstico de Averías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30 Horas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5 Sesiones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Comisionamiento Integral PLC-VFD-HMI y Resolución de Fallas Inducidas en Banco</w:t>
            </w:r>
          </w:p>
        </w:tc>
      </w:tr>
    </w:tbl>
    <w:p>
      <w:pPr>
        <w:spacing w:before="160" w:after="120" w:line="276" w:lineRule="auto"/>
      </w:pPr>
      <w:r>
        <w:rPr>
          <w:rFonts w:ascii="Calibri" w:hAnsi="Calibri"/>
          <w:color w:val="1A202C"/>
          <w:sz w:val="19"/>
        </w:rPr>
        <w:t>Balance de Modalidad y Distribución del Tiempo Pedagógico:</w:t>
        <w:br/>
        <w:t>• 80% Horas Prácticas en Taller/Laboratorio (96 horas): Cableado directo en tableros, configuración en teclado de variadores, montaje de sensores, descargas de programas a PLC y resolución de averías en banco físico de pruebas.</w:t>
        <w:br/>
        <w:t>• 20% Horas en Plataforma Digital e Interpretación (24 horas): Lectura analítica de manuales técnicos de fabricante (Siemens, Schneider, WEG), diagramación en software CAD eléctrico (CADe SIMU) y cuestionarios previos de seguridad en Kinal.academy (Moodle) institucional.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6. Estrategia Didáctica en Laboratorio y Bitácora Semanal «Berichtsheft»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Para garantizar la asimilación profunda y la transferencia real al puesto de trabajo, se implementan dos pilares metodológicos:</w:t>
        <w:br/>
        <w:t>1. Método de las 6 Fases de la Acción Completa (Modell der vollständigen Handlung):</w:t>
        <w:br/>
        <w:t xml:space="preserve">   • Fase 1 - Informar: Análisis del problema de planta y especificaciones técnicas de la máquina.</w:t>
        <w:br/>
        <w:t xml:space="preserve">   • Fase 2 - Planificar: Diseño de esquemas eléctricos, selección de calibres y asignación de direcciones de I/O.</w:t>
        <w:br/>
        <w:t xml:space="preserve">   • Fase 3 - Decidir: Validación conjunta con el instructor antes de realizar cualquier conexión física.</w:t>
        <w:br/>
        <w:t xml:space="preserve">   • Fase 4 - Ejecutar: Montaje mecánico en riel DIN, cableado pulcro y programación en software.</w:t>
        <w:br/>
        <w:t xml:space="preserve">   • Fase 5 - Controlar: Protocolo de energización escalonada y medición con multímetro de aislamientos y continuidades.</w:t>
        <w:br/>
        <w:t xml:space="preserve">   • Fase 6 - Valorar: Reflexión sobre dificultades encontradas, tiempos de ejecución y lecciones aprendidas.</w:t>
        <w:br/>
        <w:t>2. Bitácora Semanal de Aprendizaje Berichtsheft (Estándar Dual Alemán):</w:t>
        <w:br/>
        <w:t xml:space="preserve">   Cada estudiante registra semanalmente: fecha de la práctica, descripción detallada del circuito o rutina programada, normas de seguridad aplicadas, problemas y fallas enfrentadas, y cómo fueron resueltos bajo el criterio del «trabajo bien hecho». Esta bitácora es visada por el instructor y constituye un requisito obligatorio para optar a la certificación final.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7. Sistema de Evaluación Institucional y Criterio de Acreditación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Umbral Aprobatorio Institucional Obligatorio: </w:t>
            </w:r>
            <w:r>
              <w:rPr>
                <w:rFonts w:ascii="Calibri" w:hAnsi="Calibri"/>
                <w:i/>
                <w:color w:val="2D3748"/>
                <w:sz w:val="20"/>
              </w:rPr>
              <w:t>La aprobación de cada módulo formativo y la certificación profesional final requieren alcanzar una calificación mínima de 75 puntos sobre 100 en todas las comprobaciones de banco, listas de cotejo de taller y evaluación de proyecto terminal, de acuerdo con la Normativa de Convivencia y Evaluación de Fundación Kinal.</w:t>
            </w:r>
          </w:p>
        </w:tc>
      </w:tr>
    </w:tbl>
    <w:p>
      <w:pPr>
        <w:spacing w:before="0"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600"/>
        <w:gridCol w:w="5760"/>
      </w:tblGrid>
      <w:tr>
        <w:tc>
          <w:tcPr>
            <w:tcW w:type="dxa" w:w="468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Componente de Evaluación</w:t>
            </w:r>
          </w:p>
        </w:tc>
        <w:tc>
          <w:tcPr>
            <w:tcW w:type="dxa" w:w="468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Criterio de Desempeño y Evidencia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Pruebas Prácticas de Taller y Rúbricas de Ensamble (40%)</w:t>
            </w:r>
          </w:p>
        </w:tc>
        <w:tc>
          <w:tcPr>
            <w:tcW w:type="dxa" w:w="4680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Evaluación continua sesión por sesión del cableado, conexionado, peinado, rotulado y pruebas de funcionamiento de circuitos de fuerza y control sin cortocircuitos.</w:t>
            </w:r>
          </w:p>
        </w:tc>
      </w:tr>
      <w:tr>
        <w:tc>
          <w:tcPr>
            <w:tcW w:type="dxa" w:w="4680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Programación y Comisionamiento en Software / PLC / VFD (30%)</w:t>
            </w:r>
          </w:p>
        </w:tc>
        <w:tc>
          <w:tcPr>
            <w:tcW w:type="dxa" w:w="4680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Evaluación de la lógica estructurada en Ladder, correcta parametrización de variadores, mapeo de señales y comisionamiento de secuencias automáticas.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Bitácora Semanal Berichtsheft y Dossier Técnico (10%)</w:t>
            </w:r>
          </w:p>
        </w:tc>
        <w:tc>
          <w:tcPr>
            <w:tcW w:type="dxa" w:w="4680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Revisión quincenal de bitácoras, diagramas 'As-Built' actualizados y hojas de cálculo de calibración de protecciones eléctricas.</w:t>
            </w:r>
          </w:p>
        </w:tc>
      </w:tr>
      <w:tr>
        <w:tc>
          <w:tcPr>
            <w:tcW w:type="dxa" w:w="4680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Proyecto Integrador Terminal y Diagnóstico de Fallas (20%)</w:t>
            </w:r>
          </w:p>
        </w:tc>
        <w:tc>
          <w:tcPr>
            <w:tcW w:type="dxa" w:w="4680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Prueba individual de certificación en banco real: puesta en marcha de un proceso continuo integrado y diagnóstico de 2 fallas inducidas en menos de 60 minutos.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8. Equipamiento de Laboratorio y Requerimientos de Seguridad Industrial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19"/>
        </w:rPr>
        <w:t>El programa se imparte íntegramente en los laboratorios de electrotecnia y automatización de Fundación Kinal, dotados de:</w:t>
        <w:br/>
        <w:t>• Estaciones de Trabajo Eléctricas: Módulos con riel DIN, canaleta ranurada, tomas trifásicas de 220V/208V y monofásicas de 120V con protección diferencial GFCI.</w:t>
        <w:br/>
        <w:t>• Aparamenta Industrial: Contactores AC-3 (Siemens Sirius / Schneider TeSys), relés térmicos, guardamotores magneto-térmicos, temporizadores y botoneras de mando industrial.</w:t>
        <w:br/>
        <w:t>• Bancos de Motores y Variadores: Motores trifásicos jaula de ardilla (0.5 a 1.5 HP), variadores de frecuencia de última generación (Siemens Sinamics V20 / Schneider Altivar / Danfoss) con paneles de operación integrados.</w:t>
        <w:br/>
        <w:t>• Controladores Lógicos y Sensórica: PLCs Siemens S7-1200 (CPU 1214C DC/DC/DC) y módulos LOGO! 24RCE con software TIA Portal con licencias académicas, sensores industriales inductivos, fotoeléctricos y capacitivos.</w:t>
        <w:br/>
        <w:t>• Normas de Seguridad Obligatorias: Uso innegociable de calzado de seguridad con puntera dieléctrica, gafas de protección policarbonato, candados y tarjetas LOTO individuales, y prohibición estricta de anillos, relojes metálicos o ropa holgada.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right"/>
    </w:pPr>
    <w:r>
      <w:rPr>
        <w:rFonts w:ascii="Calibri" w:hAnsi="Calibri"/>
        <w:color w:val="4A5568"/>
        <w:sz w:val="17"/>
      </w:rPr>
      <w:t>Fundación Kinal | Automatización y Control Eléctrico Industrial — Propuesta Curricular Oficial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