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76" w:lineRule="auto"/>
      </w:pPr>
      <w:r>
        <w:rPr>
          <w:rFonts w:ascii="Calibri" w:hAnsi="Calibri"/>
          <w:b/>
          <w:color w:val="003366"/>
          <w:sz w:val="28"/>
        </w:rPr>
        <w:t>FUNDACIÓN KINAL</w:t>
      </w:r>
    </w:p>
    <w:p>
      <w:pPr>
        <w:spacing w:before="0" w:after="400" w:line="276" w:lineRule="auto"/>
      </w:pPr>
      <w:r>
        <w:rPr>
          <w:rFonts w:ascii="Calibri" w:hAnsi="Calibri"/>
          <w:color w:val="4A5568"/>
          <w:sz w:val="22"/>
        </w:rPr>
        <w:t>Escuela Técnica Superior — Coordinación de Formación Continua y Empleabilidad</w:t>
      </w:r>
    </w:p>
    <w:p>
      <w:pPr>
        <w:spacing w:before="200" w:after="160" w:line="276" w:lineRule="auto"/>
      </w:pPr>
      <w:r>
        <w:rPr>
          <w:rFonts w:ascii="Calibri" w:hAnsi="Calibri"/>
          <w:b/>
          <w:color w:val="003366"/>
          <w:sz w:val="40"/>
        </w:rPr>
        <w:t>DOSIFICACIÓN CURRICULAR Y SECUENCIA DIDÁCTICA DETALLADA</w:t>
      </w:r>
    </w:p>
    <w:p>
      <w:pPr>
        <w:spacing w:before="0" w:after="360" w:line="276" w:lineRule="auto"/>
      </w:pPr>
      <w:r>
        <w:rPr>
          <w:rFonts w:ascii="Calibri" w:hAnsi="Calibri"/>
          <w:i/>
          <w:color w:val="4A5568"/>
          <w:sz w:val="24"/>
        </w:rPr>
        <w:t>Ciberseguridad y Fundamentos de Seguridad de la Información (20 Sesiones de 4 Horas — 80 Horas)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2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Organización Pedagógica Dual e Ideario Kinal: </w:t>
            </w:r>
            <w:r>
              <w:rPr>
                <w:rFonts w:ascii="Calibri" w:hAnsi="Calibri"/>
                <w:i/>
                <w:color w:val="2D3748"/>
                <w:sz w:val="20"/>
              </w:rPr>
              <w:t>«El aprender en el proceso del trabajo es base y a la vez objetivo de la acción formativa». Las 80 horas corresponden a 20 encuentros de 240 minutos estructurados en 8 módulos progresivos. Cada sesión contempla 20 minutos de receso; por tanto, el tiempo de actividad formativa efectiva por encuentro es de 220 minutos (73 horas y 20 minutos en total). Las sesiones conectan cada concepto técnico con una empresa ficticia transversal (estaciones, red local, servidor, app web y SaaS). El calendario se organiza por sesiones consecutivas sin imponer fechas fijas de inicio. Nota mínima aprobatoria institucional: 75 puntos sobre 100.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1. Matriz General de Dosificación de las 20 Sesiones (80 Horas)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1584"/>
        <w:gridCol w:w="2592"/>
        <w:gridCol w:w="3312"/>
        <w:gridCol w:w="1872"/>
      </w:tblGrid>
      <w:tr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Sesión (4h)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Módulo Formativo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Contenido Central del Encuentro</w:t>
            </w:r>
          </w:p>
        </w:tc>
        <w:tc>
          <w:tcPr>
            <w:tcW w:type="dxa" w:w="2340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Producto Observable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1: Sistemas y TI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Fundamentos de seguridad: tríada CIA, activos, riesgos y clasificación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Matriz CIA / Activos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2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1: Sistemas y TI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Gestión de soporte ITIL: incidentes, solicitudes, cambios y SLAs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Ticket ITIL con SLA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3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1: Sistemas y TI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Redes, servidores, modelos IaaS/PaaS/SaaS y responsabilidad compartida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Diagrama del Sistema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4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2: Identidad y Acceso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Autenticación, validación, creación de sesión, expiración y revocación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Flujo de Autenticación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5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2: Identidad y Acceso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Autenticación multifactor (MFA), enrolamiento, fricción y phishing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Procedimiento MFA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6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2: Identidad y Acceso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SSO, federación, protocolos (SAML, LDAP, OAuth/OIDC) y matriz RBAC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Matriz RBAC / Bajas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7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3: Controles y Resp.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Mínimo privilegio, delimitación de alcance, fronteras y Zero Trust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Ficha de Alcance / ZT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8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3: Controles y Resp.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Segregación de funciones, matriz RACI, telemetría y lectura en SIEM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Logs SIEM / Correlación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9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4: Comunicaciones Web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Criptografía: simétrica, asimétrica, hashes, firmas y gestión de claves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Tabla Criptográfica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10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4: Comunicaciones Web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Protocolos HTTP vs HTTPS, handshake TLS y certificados X.509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Inspección Certificado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11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4: Comunicaciones Web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Cadena de CAs, proxies, componentes de red y seguridad en APIs REST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Traza Web / Ficha API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12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5: Vulnerabilidades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Ciclo de vida de hardware (EOL/EOS) y gestión de servicios SaaS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Plan Ciclo de Vida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13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5: Vulnerabilidades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Mantenimiento de servidores, parches de SO y software/dependencias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Plan de Parches / Rollback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14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5: Vulnerabilidades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Lectura de avisos CVE/CVSS, tratamiento y remediación de protocolos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Ficha Tratamiento CVE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15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6: Documentación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Jerarquía documental: políticas de seguridad corporativas y estándares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Borrador de Política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16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6: Documentación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Procedimientos SOP, evaluación de riesgos y aceptación temporal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SOP Baja / Aceptación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17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7: Estándares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Estándar PCI DSS (CDE) e ISO/IEC 27001 (SGSI y SoA)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Cuadro Comparativo 1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18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7: Estándares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Regulación HIPAA (ePHI) e informes de aseguramiento SOC 1 y SOC 2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Cuadro Comparativo 2</w:t>
            </w:r>
          </w:p>
        </w:tc>
      </w:tr>
      <w:tr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19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8: Higiene e Incidentes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Higiene digital, protección cotidiana, ingeniería social y phishing</w:t>
            </w:r>
          </w:p>
        </w:tc>
        <w:tc>
          <w:tcPr>
            <w:tcW w:type="dxa" w:w="2340"/>
            <w:shd w:fill="F7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Reporte de Incidente</w:t>
            </w:r>
          </w:p>
        </w:tc>
      </w:tr>
      <w:tr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Sesión 20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Módulo 8: Higiene e Incidentes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Proyecto Integrador: consolidación de expediente, defensa y clausura</w:t>
            </w:r>
          </w:p>
        </w:tc>
        <w:tc>
          <w:tcPr>
            <w:tcW w:type="dxa" w:w="2340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Expediente del Caso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2. Microdiseño Didáctico Detallado por Sesión (240 Minutos por Encuentro)</w:t>
      </w:r>
    </w:p>
    <w:p>
      <w:pPr>
        <w:spacing w:before="0" w:after="160" w:line="276" w:lineRule="auto"/>
      </w:pPr>
      <w:r>
        <w:rPr>
          <w:rFonts w:ascii="Calibri" w:hAnsi="Calibri"/>
          <w:color w:val="1A202C"/>
          <w:sz w:val="20"/>
        </w:rPr>
        <w:t>Cada una de las 20 sesiones formativas de 4 horas (240 minutos) se desglosa rigurosamente en tres momentos didácticos (Apertura 30 min, Desarrollo 160 min con Receso de 20 min, y Cierre 30 min), aplicando el principio del «trabajo bien hecho»: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1: Fundamentos de Seguridad de la Información y Clasificación de Activos (Módulo 1: Sistemas y TI)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Distingue confidencialidad, integridad y disponibilidad en un caso laboral de la empresa ficticia.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Presentación del curso, reglas de convivencia e ideario de Kinal. Planteamiento del caso de la empresa ficticia: fuga de información de clientes por correo.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Exposición dialogada sobre la tríada CIA, amenazas y riesgos. Ejercicio guiado: inventario inicial de activos de la empresa ficticia y clasificación en pública, interna, confidencial y restringida.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Puesta en común de clasificaciones. Registro en la Bitácora Berichtsheft sobre impacto de pérdida de integridad. Preguntas de verificación.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Computadora, navegador, plantilla de inventario de activos, caso de estudio.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Ficha de clasificación de activos con justificación de confidencialidad, integridad y disponibilidad.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2: Soporte Técnico, Principios ITIL y Gestión de Servicios (Módulo 1: Sistemas y TI)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Clasifica una solicitud de servicio y documenta su atención con responsables y evidencia.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Caso laboral: caída de servidor de facturación a fin de mes. Debate sobre impacto vs urgencia y diferencia entre falla técnica e incidente de seguridad.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Principios ITIL aplicados al soporte: valor, colaboración y visibilidad. Flujo de mesa de servicio: solicitud, incidente, problema y cambio. Ejercicio: redacción de un ticket formal con SLA y escalamiento.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Revisión de tickets en parejas. Registro en Berichtsheft sobre criterios de escalamiento. Reflexión ética sobre el compromiso de servicio.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Plantilla de ticket de mesa de servicio, guía ITIL de Fundación Kinal.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Ticket de mesa de servicio documentado con categoría, impacto, urgencia, responsable y evidencia de resolución.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3: Redes, Sistemas Locales, Cloud y Modelo de Responsabilidad Compartida (Módulo 1: Sistemas y TI)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Lee y dibuja un diagrama básico explicando dependencias y límites de responsabilidad.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Pregunta detonante: ¿si se cae el servicio SaaS de correo, de quién es la culpa? Discusión de responsabilidades.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Análisis de servidores locales, virtuales, switches y enlaces WAN. Modelos IaaS, PaaS y SaaS. Ejercicio: diagramación lógica del sistema de la empresa ficticia delimitando qué gestiona la empresa y qué el proveedor.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Inspección de diagramas de arquitectura. Registro en Berichtsheft de la matriz de responsabilidad compartida. Cierre del Módulo 1.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Herramienta de diagramación (Draw.io / Lucidchart), ejemplos de arquitecturas cloud.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Diagrama completo del sistema de la empresa ficticia con equipos, red, servidor y SaaS con delimitación de alcance.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4: Autenticación, Validación y Ciclo de Vida de la Sesión (Módulo 2: Identidad y Acceso)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Reconstruye el inicio, validación y cierre de una sesión, señalando quién valida cada paso.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Caso real: usuario que dejó sesión abierta en equipo compartido y sufrió suplantación de identidad en sistema contable.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Fases: identificación, prueba, validación, sesión, expiración y revocación. Roles del usuario, aplicación e IdP. Ejercicio: diagramar el ciclo de sesión distinguiendo que autenticar no otorga permiso universal.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Revisión de flujos de sesión. Registro en Berichtsheft sobre directivas de expiración por inactividad. Verificación de comprensión.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Diagramas de flujo de sesión, navegador web con consola de desarrollador (inspección de cookies de sesión sin credenciales reales).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Flujo secuencial de ciclo de sesión documentado con eventos de expiración y revocación.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5: Autenticación Multifactor (MFA), Fricción y Resistencia a Phishing (Módulo 2: Identidad y Acceso)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Compara factores y describe un procedimiento de enrolamiento y recuperación.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Demostración de ataque de fatiga de MFA (MFA bombing) y por qué dos contraseñas no son dos factores.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Análisis de factores: conocimiento, posesión e inherencia. Comparación de OTP, apps autenticadoras, push y llaves FIDO2. Ejercicio: redactar el procedimiento de enrolamiento y recuperación de factor perdido.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Evaluación de procedimientos de recuperación. Registro en Berichtsheft sobre controles compensatorios ante pérdida de token.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Aplicaciones autenticadoras de ejemplo, guías de enrolamiento MFA.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Procedimiento operativo de enrolamiento y recuperación de MFA con controles sobre excepciones.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6: SSO, Federación, Protocolos de Acceso y Matriz RBAC (Módulo 2: Identidad y Acceso)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Ubica protocolos (SAML, LDAP, OAuth, OIDC) y construye una matriz simple de roles y permisos.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Dilema operativo: renuncia de un empleado clave con acceso a 10 sistemas SaaS. Riesgos de no tener SSO centralizado.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Conceptos de SSO, SAML, LDAP, OAuth 2.0 y OIDC. Bearer tokens y flujo PKCE sin código. Matriz RBAC: usuario, grupo, rol y acción. Ejercicio: construir matriz RBAC y resolver baja inmediata de usuario.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Inspección de matrices RBAC. Registro en Berichtsheft sobre revocación de tokens. Cierre formal del Módulo 2.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Plantilla de matriz RBAC, diagramas de flujo OAuth/SAML.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Matriz de roles y permisos RBAC y procedimiento de baja inmediata con revocación de sesiones.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7: Mínimo Privilegio, Fronteras de Confianza y Arquitectura Zero Trust (Módulo 3: Controles y Resp.)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Justifica cada permiso y redacta inclusiones, exclusiones y dependencias de un control.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Discusión de la frase 'dar acceso total para que no dé problemas'. Consecuencias de roles genéricos excesivos.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Principio de menor privilegio y regla deny by default. Separación de cuenta diaria y administrativa. Pilares de Zero Trust: verificación explícita y contexto. Ejercicio: definir el alcance y fronteras de un control.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Revisión de redacción de controles: verificar que indiquen dónde actúan y su evidencia.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Estándar NIST SP 800-207, plantilla de especificación de control.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Ficha de diseño de control con alcance delimitado, exclusiones y justificación de mínimo privilegio.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8: Segregación de Funciones, Matriz RACI y Trazabilidad en Logs y SIEM (Módulo 3: Controles y Resp.)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Lee registros básicos y correlaciona eventos para reconstruir un proceso, separando hechos de hipótesis.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Presentación de un caso de fraude interno por autoaprobación de compras. Importancia de la segregación de funciones.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Matriz RACI. Introducción a logs y SIEM: marcas de tiempo UTC, actor, origen, recurso, acción y resultado. Lectura práctica de registros de ejemplo: intentos fallidos 4625 seguidos de 4624, regla deny de firewall y error nómina.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Construcción de la línea de tiempo del evento. Registro en Berichtsheft sobre la diferencia entre hecho e hipótesis. Cierre del Módulo 3.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Registros de logs ficticios normalizados, plantilla de matriz RACI, visor de logs.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Reconstrucción documentada de un incidente a partir de logs correlacionados y ticket de solicitud.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9: Criptografía Aplicada, Algoritmos, Claves y Funciones Hash (Módulo 4: Comunicaciones Web)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Distingue cifrado, hash y firma digital y explica el papel de la custodia de claves.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Caso real: filtración de base de datos con contraseñas en texto claro vs contraseñas hasheadas con salt.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Texto claro, algoritmo y clave. Cifrado simétrico (AES) vs asimétrico (RSA). Integridad con SHA-256. Demostración práctica con CyberChef: cálculo de hashes y cifrado. Aclaración: hash no es cifrado reversible.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Comprobación de conceptos criptográficos. Registro en Berichtsheft sobre algoritmos recomendados vs obsoletos.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Herramienta web CyberChef, generadores de hash, ejemplos de pares de claves.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Tabla comparativa de primitivas criptográficas con casos de uso en tránsito y en reposo.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10: Protocolos HTTP, HTTPS, Handshake TLS y Certificados Digitales (Módulo 4: Comunicaciones Web)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Describe el establecimiento conceptual de una conexión HTTPS e inspecciona un certificado.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¿El candado verde en el navegador garantiza que el sitio web no es una estafa? Análisis crítico.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Estructura HTTP (métodos, códigos de estado, cabeceras). Negociación TLS: autenticación de servidor y acuerdo de claves. Estructura del certificado X.509: dominio (SAN), emisor, vigencia y clave pública.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Inspección guiada de certificados de sitios web autorizados. Registro en Berichtsheft sobre advertencias de certificados vencidos.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Navegador web, visor de certificados X.509, capturas de handshake TLS en Wireshark.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Ficha de análisis de un certificado digital identificando emisor, vigencia, SAN y validez.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11: Cadena de Confianza, Recorrido Web, Proxies y Seguridad en APIs (Módulo 4: Comunicaciones Web)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Identifica componentes del recorrido web y propone controles básicos sobre un endpoint de API.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Trazado del viaje de un paquete desde el navegador hasta la base de datos de un banco.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Jerarquía de CAs (raíz, intermedia). Funciones de DNS, router, firewall y proxy (directo e inverso). Inspección de metadatos y terminación TLS. Seguridad en APIs: endpoints, tokens Bearer, Rate Limiting.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Construcción del diagrama de recorrido web y ficha de control de API. Registro en Berichtsheft. Cierre del Módulo 4.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Herramienta de diagramación, ejemplos de peticiones HTTP a APIs REST ficticias.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Diagrama de recorrido web completo y especificación de controles sobre un endpoint de API expuesto.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12: Ciclo de Vida de Activos de Hardware y Gestión de Servicios Tercerizados (Módulo 5: Vulnerabilidades)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Define un ciclo de vida de hardware y establece compromisos de seguridad con proveedores SaaS.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Caso laboral: conmutador de red de 10 años que deja de recibir parches de seguridad (End of Support).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Etapas del hardware: adquisición, operación, mantenimiento, EOL y retiro seguro. Gestión de servicios SaaS: seguimiento de notas de versión, fechas de deprecación y exportación de datos al cancelar contrato.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Revisión de planes de ciclo de vida. Registro en Berichtsheft sobre borrado seguro y disposición de discos.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Plantilla de inventario de ciclo de vida de hardware y contratos SaaS de ejemplo.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Plan de ciclo de vida de activos con fechas EOL/EOS y estrategia de retiro seguro documentada.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13: Servidores, Sistemas Operativos, Software y Dependencias (Módulo 5: Vulnerabilidades)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Propone actualización o retiro según soporte y gestiona ventanas de cambios con plan de reversión.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Caso real: actualización de servidor que dejó inoperativa la base de datos contable por falta de plan de reversión.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Versiones de SO y estado de soporte. Gestión de cambios de parches: inventario, respaldo comprobado, pruebas en staging, ventana de mantenimiento y rollback. Software: bibliotecas y dependencias compartidas.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Simulación de un plan de ventana de parcheo. Registro en Berichtsheft sobre requisitos de aprobación previa.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Procedimiento estándar de gestión de cambios (ITIL), plantilla de plan de marcha atrás.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Plan de aplicación de parches de servidor con verificación de respaldo y procedimiento de rollback.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14: Lectura y Tratamiento de Vulnerabilidades (CVE, CVSS y Avisos Oficiales) (Módulo 5: Vulnerabilidades)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Interpreta un aviso CVE/CVSS y formula una acción técnica verificable para el activo afectado.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Lectura guiada de un boletín de seguridad real de fabricante (ej. vulnerabilidad en servidor web o biblioteca).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Estructura del CVE, métricas CVSS (base vs severidad real según exposición). Opciones de tratamiento: parche, mitigación temporal, ajuste de configuración o retiro. Caso TLS 1.0 como protocolo obsoleto.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Elaboración del plan de tratamiento para el aviso asignado. Registro en Berichtsheft. Cierre del Módulo 5.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Base de datos NIST NVD, avisos oficiales de seguridad de Microsoft y Apache.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Ficha de tratamiento de vulnerabilidad CVE con severidad CVSS, mitigación justificada y prueba de validación.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15: Estructura Documental y Redacción de Políticas de Seguridad (Módulo 6: Documentación)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Redacta una regla de política con alcance, responsable y forma de verificar su cumplimiento.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Análisis de políticas redactadas de forma ambigua ('los usuarios deben ser cuidadosos') y por qué no funcionan.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Pirámide documental: políticas, estándares, SOPs y guías. Elementos mandatorios: propósito, alcance explícito, reglas obligatorias, responsables, excepciones y aprobación. Ejercicio: redactar política de accesos.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Revisión cruzada de políticas entre estudiantes. Registro en Berichtsheft sobre control de versiones y aprobaciones.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Plantilla institucional de política de seguridad de la información.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Documento formal de Política de Control de Accesos con alcance, responsables y métricas de verificación.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16: Procedimientos SOP, Evaluación de Riesgos y Aceptación Temporal (Módulo 6: Documentación)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Describe un SOP ejecutable y formula una solicitud de aceptación temporal para autoridad competente.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Caso de estudio: servidor antiguo no actualizable que soporta una línea crítica de manufactura.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Estructura de SOP: pasos secuenciales, roles y criterio de cierre. Matriz de riesgos: impacto, probabilidad, riesgo inherente y residual. Solicitud de aceptación de riesgo: motivo, controles compensatorios y vigencia.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Inspección de SOPs y solicitudes de aceptación. Registro en Berichtsheft. Cierre formal del Módulo 6.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Plantilla de SOP (Procedimiento Operativo Estándar), matriz de evaluación de riesgos.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SOP de baja de usuarios y formato de solicitud de aceptación temporal de riesgo debidamente justificado.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17: Estándar PCI DSS (Datos de Tarjeta) y Sistema de Gestión ISO/IEC 27001 (Módulo 7: Estándares)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Identifica datos de pago, delimita el entorno CDE y relaciona riesgos con los requisitos de ISO 27001.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¿Toda empresa que acepta pagos con tarjeta debe certificarse en PCI DSS? Análisis de aplicabilidad.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PCI DSS: protección de datos de tarjetahabiente, Entorno de Datos del Titular (CDE) y segmentación. ISO/IEC 27001:2022: estructura del SGSI, liderazgo, evaluación de riesgos, SoA y mejora continua (2h cada tema).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Comparación de objetivos entre estándar técnico (PCI) y norma de gestión (ISO). Registro en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Estándar PCI DSS v4.0 (resumen), norma ISO/IEC 27001:2022 (estructura de cláusulas y controles Anexo A).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Matriz comparativa de aplicabilidad entre PCI DSS e ISO 27001 para la empresa ficticia.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18: Regulación HIPAA (ePHI) e Informes de Aseguramiento SOC 1 y SOC 2 (Módulo 7: Estándares)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Reconoce cuándo aplica HIPAA y distingue el objeto de un informe SOC 1 vs SOC 2 (Tipo I y Tipo II).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Caso de empresa guatemalteca de software que brinda soporte a clínicas en EE.UU.: obligaciones de HIPAA y SOC.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HIPAA: datos de salud protegidos (ePHI), salvaguardas administrativas, físicas y técnicas. Informes SOC: SOC 1 (financiero) vs SOC 2 (servicios de confianza); Tipo I (a una fecha) vs Tipo II (período de eficacia).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Lectura guiada de extractos de un informe SOC 2 ficticio: opinión del auditor y excepciones. Registro en Berichtsheft. Cierre M7.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Guía de la regla de seguridad de HIPAA, ejemplos de informes SOC 2 con datos simulados.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Ficha de análisis de aplicabilidad de HIPAA y criterios de interpretación de un informe SOC 2 Tipo II.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19: Higiene Digital, Ingeniería Social, Phishing y Respuesta Inicial (Módulo 8: Higiene e Incidentes)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Identifica señales de ingeniería social, documenta un evento y ejecuta reporte inicial sin alterar evidencia.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Simulación de correo electrónico fraudulento urgente solicitando cambio de cuenta bancaria de proveedor.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Higiene digital: contraseñas, MFA y bloqueo de pantalla. Ingeniería social: phishing, smishing, vishing y quishing. Señales de alarma y verificación out-of-band. Protocolo de reporte inicial: qué, cuándo, quién y acciones.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Simulación de llenado de reporte de incidente de seguridad. Registro en Berichtsheft. Preparación para sesión final.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Muestras de correos phishing simulados, formato de reporte de incidentes de seguridad.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Reporte formal de incidente de seguridad por intento de phishing con cadena de custodia inicial.</w:t>
            </w:r>
          </w:p>
        </w:tc>
      </w:tr>
    </w:tbl>
    <w:p>
      <w:pPr>
        <w:spacing w:before="0" w:after="120" w:line="276" w:lineRule="auto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6"/>
        </w:rPr>
        <w:t>Sesión 20: Proyecto Integrador: Presentación del Expediente de Seguridad y Clausura (Módulo 8: Higiene e Incidentes)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592"/>
        <w:gridCol w:w="6768"/>
      </w:tblGrid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Objetivo de la Sesión: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Sustenta un conjunto coherente de controles con alcance, responsables y evidencias ante jurado evaluador.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Apertura / Inicio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Apertura de la jornada final de evaluación. Presentación de los criterios de la rúbrica y bienvenida a autoridades de Kinal.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Desarrollo Práctico (160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Sustentación individual y por células del Expediente de Seguridad del Caso Transversal (diagramas, RBAC, logs, ciclo de vida, políticas, SOPs, riesgos y respuesta). Ronda de preguntas técnicas de justificación.</w:t>
              <w:br/>
              <w:t>[Incluye Receso Formativo de 20 min intermedio]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Cierre / Consolidación (30 min):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Revisión final y firma oficial de la Bitácora Berichtsheft. Deliberación y entrega de notas finales (aprobatorio ≥ 75 pts). Acto de clausura y reflexión final sobre los valores de servicio y trabajo bien hecho.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Recursos y Materiales: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7"/>
              </w:rPr>
              <w:t>Expedientes de seguridad completos, rúbrica analítica del proyecto, bitácoras de taller Berichtsheft.</w:t>
            </w:r>
          </w:p>
        </w:tc>
      </w:tr>
      <w:tr>
        <w:tc>
          <w:tcPr>
            <w:tcW w:type="dxa" w:w="4680"/>
            <w:shd w:fill="F7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7"/>
              </w:rPr>
              <w:t>Producto Observable:</w:t>
            </w:r>
          </w:p>
        </w:tc>
        <w:tc>
          <w:tcPr>
            <w:tcW w:type="dxa" w:w="468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7"/>
              </w:rPr>
              <w:t>Expediente de Seguridad del Caso aprobado y sustentado con nota mínima de suficiencia (≥ 75 / 100 puntos).</w:t>
            </w:r>
          </w:p>
        </w:tc>
      </w:tr>
    </w:tbl>
    <w:p>
      <w:pPr>
        <w:spacing w:before="0" w:after="120" w:line="276" w:lineRule="auto"/>
      </w:pP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3. Instrumentos y Rúbricas Analíticas de Evaluación (Normativa Kinal)</w:t>
      </w:r>
    </w:p>
    <w:p>
      <w:pPr>
        <w:spacing w:before="0" w:after="160" w:line="276" w:lineRule="auto"/>
      </w:pPr>
      <w:r>
        <w:rPr>
          <w:rFonts w:ascii="Calibri" w:hAnsi="Calibri"/>
          <w:color w:val="1A202C"/>
          <w:sz w:val="20"/>
        </w:rPr>
        <w:t>Toda comprobación y entrega se califica sobre 100 puntos, con un umbral de aprobación técnica de 75 puntos. Los criterios analíticos oficiales del Proyecto Integrador son: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160"/>
        <w:gridCol w:w="1728"/>
        <w:gridCol w:w="1872"/>
        <w:gridCol w:w="1872"/>
        <w:gridCol w:w="1728"/>
      </w:tblGrid>
      <w:tr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Criterio Evaluado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Sólido / Excelente</w:t>
              <w:br/>
              <w:t>(90 - 100 pts)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Satisfactorio</w:t>
              <w:br/>
              <w:t>(80 - 89 pts)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Parcial / Mínimo</w:t>
              <w:br/>
              <w:t>(75 - 79 pts)</w:t>
            </w:r>
          </w:p>
        </w:tc>
        <w:tc>
          <w:tcPr>
            <w:tcW w:type="dxa" w:w="1872"/>
            <w:shd w:fill="003366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Insuficiente</w:t>
              <w:br/>
              <w:t>(&lt; 75 pts)</w:t>
            </w:r>
          </w:p>
        </w:tc>
      </w:tr>
      <w:tr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Corrección Conceptual y Distinción de Funciones</w:t>
              <w:br/>
              <w:t>(Peso: 25%)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Distingue con total precisión identidad, acceso, transporte, hashing y cifrado sin confundir conceptos.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Distingue las funciones técnicas principales con mínimas precisiones requeridas en clase.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Comprensión básica de funciones pero requiere aclaración menor en protocolos o factores MFA.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Confunde autenticación con autorización, o hash con cifrado reversible de manera crítica.</w:t>
            </w:r>
          </w:p>
        </w:tc>
      </w:tr>
      <w:tr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Alcance Explícito y Coherencia Documental</w:t>
              <w:br/>
              <w:t>(Peso: 20%)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Delimita claramente qué cubre cada control y mantiene coherencia total entre diagramas, flujos y políticas.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Delimitación clara del alcance con coherencia adecuada entre los documentos del expediente.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Alcance delimitado pero con ambigüedades menores en límites con servicios de terceros.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Propone 'aplica a todo' sin inventario verificable o presenta documentos desarticulados e incoherentes.</w:t>
            </w:r>
          </w:p>
        </w:tc>
      </w:tr>
      <w:tr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Controles y Tratamiento de Riesgos Justificados</w:t>
              <w:br/>
              <w:t>(Peso: 25%)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Justifica de forma técnica y operativa cada control, escenario de riesgo y mitigación propuesta.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Justificación técnica sólida para la mayoría de controles y riesgos evaluados.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Propone controles pertinentes pero su justificación técnica de riesgo residual es esquemática.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Controles arbitrarios sin sustento de riesgo o acepta riesgos sin autoridad ni compensaciones.</w:t>
            </w:r>
          </w:p>
        </w:tc>
      </w:tr>
      <w:tr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Responsables y Evidencia de Trazabilidad</w:t>
              <w:br/>
              <w:t>(Peso: 20%)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Asigna roles RACI explícitos y define evidencias verificables (logs, tickets, hashes) para cada control.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Asigna responsables claros y describe evidencias observables suficientes para auditoría.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Indica responsables pero las evidencias propuestas son genéricas o de difícil verificación.</w:t>
            </w:r>
          </w:p>
        </w:tc>
        <w:tc>
          <w:tcPr>
            <w:tcW w:type="dxa" w:w="1872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Controles sin responsable asignado o carentes de evidencia de comprobación y cierre.</w:t>
            </w:r>
          </w:p>
        </w:tc>
      </w:tr>
      <w:tr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A202C"/>
                <w:sz w:val="16"/>
              </w:rPr>
              <w:t>Claridad en la Presentación y Respuestas</w:t>
              <w:br/>
              <w:t>(Peso: 10%)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Defensa técnica serena, fluida, profesional y respuestas precisas que demuestran dominio del caso.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Presentación clara y respuestas acertadas a las preguntas del panel evaluador.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Exposición entendible pero con dudas menores al justificar decisiones ante preguntas del jurado.</w:t>
            </w:r>
          </w:p>
        </w:tc>
        <w:tc>
          <w:tcPr>
            <w:tcW w:type="dxa" w:w="1872"/>
            <w:shd w:fill="F7FAFC"/>
            <w:tcMar>
              <w:top w:w="55" w:type="dxa"/>
              <w:bottom w:w="55" w:type="dxa"/>
              <w:left w:w="65" w:type="dxa"/>
              <w:right w:w="6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6"/>
              </w:rPr>
              <w:t>Incapaz de explicar el expediente presentado o evade responder sobre las evidencias técnicas.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003366"/>
          <w:sz w:val="30"/>
        </w:rPr>
        <w:t>4. Formato Guía de la Bitácora del Aprendiz (Berichtsheft)</w:t>
      </w:r>
    </w:p>
    <w:p>
      <w:pPr>
        <w:spacing w:before="0" w:after="160" w:line="276" w:lineRule="auto"/>
      </w:pPr>
      <w:r>
        <w:rPr>
          <w:rFonts w:ascii="Calibri" w:hAnsi="Calibri"/>
          <w:color w:val="1A202C"/>
          <w:sz w:val="20"/>
        </w:rPr>
        <w:t>En cumplimiento del Sistema Dual de Kinal, el estudiante debe registrar cada sesión en su Bitácora de Aprendizaje y Trazabilidad (Berichtsheft), consolidando el hábito del trabajo bien hecho: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168"/>
        <w:gridCol w:w="6192"/>
      </w:tblGrid>
      <w:tr>
        <w:tc>
          <w:tcPr>
            <w:tcW w:type="dxa" w:w="4680"/>
            <w:shd w:fill="F7FAFC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Nombre del Estudiante y Carné: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___________________________________________________________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Sesión del Programa y Fecha: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Sesión No. _____ (4 horas)  |  Fecha: _____ / _____ / 2026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Módulo y Concepto Central: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[ ] M1 Sistemas   [ ] M2 Identidad   [ ] M3 Controles   [ ] M4 Web   [ ] M5 Vulns   [ ] M6 Docs   [ ] M7 Normas   [ ] M8 Higiene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Situación Laboral del Caso Analizada: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Descripción del problema o requerimiento analizado sobre la empresa ficticia.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Controles Diseñados y Evidencias: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Detalle de los controles propuestos, responsables asignados y pruebas de cierre.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Dificultad Superada («Trabajo Bien Hecho»):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Registro de dudas conceptuales o técnicas resueltas durante el encuentro.</w:t>
            </w:r>
          </w:p>
        </w:tc>
      </w:tr>
      <w:tr>
        <w:tc>
          <w:tcPr>
            <w:tcW w:type="dxa" w:w="4680"/>
            <w:shd w:fill="F7FAFC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3366"/>
                <w:sz w:val="18"/>
              </w:rPr>
              <w:t>Firma del Estudiante y Vo.Bo. del Docente:</w:t>
            </w:r>
          </w:p>
        </w:tc>
        <w:tc>
          <w:tcPr>
            <w:tcW w:type="dxa" w:w="4680"/>
            <w:tcMar>
              <w:top w:w="55" w:type="dxa"/>
              <w:bottom w:w="55" w:type="dxa"/>
              <w:left w:w="75" w:type="dxa"/>
              <w:right w:w="75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A202C"/>
                <w:sz w:val="18"/>
              </w:rPr>
              <w:t>Firma Estudiante: ___________________  |  Firma Docente: 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7"/>
      </w:rPr>
      <w:t>Fundación Kinal | Ciberseguridad y Fundamentos de Seguridad de la Información — Dosificación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