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44"/>
        </w:rPr>
        <w:t>Ciberseguridad y Fundamentos de Seguridad de la Información</w:t>
      </w:r>
    </w:p>
    <w:p>
      <w:pPr>
        <w:spacing w:before="0" w:after="280" w:line="276" w:lineRule="auto"/>
      </w:pPr>
      <w:r>
        <w:rPr>
          <w:rFonts w:ascii="Calibri" w:hAnsi="Calibri"/>
          <w:i/>
          <w:color w:val="4A5568"/>
          <w:sz w:val="22"/>
        </w:rPr>
        <w:t>Programa de formación y temario  |  Duración total 80 horas  |  Modalidad híbrida  |  20 sesiones de 4 horas</w:t>
        <w:br/>
        <w:t>Fundación Kinal — Escuela Técnica Superior | Nivel DQR 4 - 5</w:t>
      </w:r>
    </w:p>
    <w:p>
      <w:pPr>
        <w:spacing w:before="0" w:after="240" w:line="276" w:lineRule="auto"/>
        <w:pBdr>
          <w:bottom w:val="single" w:sz="12" w:space="4" w:color="003366"/>
        </w:pBdr>
      </w:pPr>
    </w:p>
    <w:p>
      <w:pPr>
        <w:spacing w:before="160" w:after="80" w:line="276" w:lineRule="auto"/>
      </w:pPr>
      <w:r>
        <w:rPr>
          <w:rFonts w:ascii="Calibri" w:hAnsi="Calibri"/>
          <w:b/>
          <w:color w:val="003366"/>
          <w:sz w:val="26"/>
        </w:rPr>
        <w:t>Misión de Kinal</w:t>
      </w:r>
    </w:p>
    <w:p>
      <w:pPr>
        <w:spacing w:before="0" w:after="200" w:line="276" w:lineRule="auto"/>
      </w:pPr>
      <w:r>
        <w:rPr>
          <w:rFonts w:ascii="Calibri" w:hAnsi="Calibri"/>
          <w:i/>
          <w:color w:val="1A202C"/>
          <w:sz w:val="21"/>
        </w:rPr>
        <w:t>«Formar a jóvenes y adultos a través de una educación integral, con énfasis en las áreas técnicas y tecnológicas, influyendo positivamente en su trabajo, su familia y la sociedad».</w:t>
      </w:r>
    </w:p>
    <w:p>
      <w:pPr>
        <w:spacing w:before="160" w:after="80" w:line="276" w:lineRule="auto"/>
      </w:pPr>
      <w:r>
        <w:rPr>
          <w:rFonts w:ascii="Calibri" w:hAnsi="Calibri"/>
          <w:b/>
          <w:color w:val="003366"/>
          <w:sz w:val="26"/>
        </w:rPr>
        <w:t>Visión de Kinal</w:t>
      </w:r>
    </w:p>
    <w:p>
      <w:pPr>
        <w:spacing w:before="0" w:after="200" w:line="276" w:lineRule="auto"/>
      </w:pPr>
      <w:r>
        <w:rPr>
          <w:rFonts w:ascii="Calibri" w:hAnsi="Calibri"/>
          <w:color w:val="1A202C"/>
          <w:sz w:val="21"/>
        </w:rPr>
        <w:t>Ser líderes en la formación técnica, tecnológica y humana de la región, propiciando la superación personal, laboral y social de nuestros estudiantes con un alto sentido ético y excelencia profesional.</w:t>
      </w:r>
    </w:p>
    <w:p>
      <w:pPr>
        <w:spacing w:before="200" w:after="120" w:line="276" w:lineRule="auto"/>
      </w:pPr>
      <w:r>
        <w:rPr>
          <w:rFonts w:ascii="Calibri" w:hAnsi="Calibri"/>
          <w:b/>
          <w:color w:val="003366"/>
          <w:sz w:val="26"/>
        </w:rPr>
        <w:t>Competencia del curso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**Competencia general:** </w:t>
      </w:r>
      <w:r>
        <w:rPr>
          <w:rFonts w:ascii="Calibri" w:hAnsi="Calibri"/>
          <w:color w:val="1A202C"/>
          <w:sz w:val="21"/>
        </w:rPr>
        <w:t>Interpretar sistemas, redes, aplicaciones y servicios desde la perspectiva de la seguridad de la información, para delimitar alcances, reconocer riesgos, diseñar controles básicos, gestionar accesos y ciclos de vida, y documentar decisiones y evidencias con criterio técnico y responsabilidad.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**Duración total en horas:** </w:t>
      </w:r>
      <w:r>
        <w:rPr>
          <w:rFonts w:ascii="Calibri" w:hAnsi="Calibri"/>
          <w:color w:val="1A202C"/>
          <w:sz w:val="21"/>
        </w:rPr>
        <w:t>80 horas pedagógicas totales (organizadas en 20 sesiones de 4 horas / 240 minutos cada una, con 20 minutos de receso por encuentro, sumando 73 horas y 20 minutos de actividad formativa efectiva).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**Horario:** </w:t>
      </w:r>
      <w:r>
        <w:rPr>
          <w:rFonts w:ascii="Calibri" w:hAnsi="Calibri"/>
          <w:color w:val="1A202C"/>
          <w:sz w:val="21"/>
        </w:rPr>
        <w:t>Por convenir institucionalmente (el calendario se organiza por sesiones consecutivas, sin imponer días u horas fijas de inicio).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**Modalidad:** </w:t>
      </w:r>
      <w:r>
        <w:rPr>
          <w:rFonts w:ascii="Calibri" w:hAnsi="Calibri"/>
          <w:color w:val="1A202C"/>
          <w:sz w:val="21"/>
        </w:rPr>
        <w:t>Modalidad híbrida (80% virtual y 20% presencial; la coordinación de encuentros virtuales y talleres en laboratorios de Fundación Kinal se define institucionalmente).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**Perfil de ingreso y orientación laboral:** </w:t>
      </w:r>
      <w:r>
        <w:rPr>
          <w:rFonts w:ascii="Calibri" w:hAnsi="Calibri"/>
          <w:color w:val="1A202C"/>
          <w:sz w:val="21"/>
        </w:rPr>
        <w:t>Dirigido a personas de 18 a 45 años desempleadas con conocimientos previos de informática que buscan fortalecer su preparación para funciones iniciales de soporte, operación tecnológica y apoyo a seguridad de la información. Requiere manejo de computadora, navegador y documentos; no requiere programación.</w:t>
      </w:r>
    </w:p>
    <w:p>
      <w:pPr>
        <w:spacing w:before="0" w:after="100" w:line="276" w:lineRule="auto"/>
      </w:pPr>
      <w:r>
        <w:rPr>
          <w:rFonts w:ascii="Calibri" w:hAnsi="Calibri"/>
          <w:b/>
          <w:color w:val="003366"/>
          <w:sz w:val="21"/>
        </w:rPr>
        <w:t xml:space="preserve">**Perfil de egreso:** </w:t>
      </w:r>
      <w:r>
        <w:rPr>
          <w:rFonts w:ascii="Calibri" w:hAnsi="Calibri"/>
          <w:color w:val="1A202C"/>
          <w:sz w:val="21"/>
        </w:rPr>
        <w:t>El egresado delimita alcances y riesgos en sistemas locales y cloud, diseña controles de mínimo privilegio y autenticación, correlaciona eventos en SIEM, gestiona el ciclo de vida de vulnerabilidades y documenta incidentes bajo normativas de la industria y el ideario del trabajo bien hecho de Kinal.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Alcance Formativo y Caso Práctico Transversal: </w:t>
            </w:r>
            <w:r>
              <w:rPr>
                <w:rFonts w:ascii="Calibri" w:hAnsi="Calibri"/>
                <w:i/>
                <w:color w:val="2D3748"/>
                <w:sz w:val="20"/>
              </w:rPr>
              <w:t>Alcance y Metodología Transversal: El curso parte de sistemas y servicios para comprender qué se protege, quién es responsable y cómo se demuestra que un control funciona. Combina teoría, demostraciones y casos de análisis, diagramación y documentación. Desarrolla criterio para interpretar, comunicar y escalar problemas de seguridad; no acredita especialización en pentesting ni ingeniería de redes. Las actividades prácticas se articulan sobre una empresa ficticia transversal (estaciones, red local, servidor, aplicación web y servicios SaaS). Las demostraciones se ejecutan sobre entornos autorizados sin explotar vulnerabilidades.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80" w:line="276" w:lineRule="auto"/>
      </w:pPr>
      <w:r>
        <w:rPr>
          <w:rFonts w:ascii="Calibri" w:hAnsi="Calibri"/>
          <w:b/>
          <w:color w:val="003366"/>
          <w:sz w:val="22"/>
        </w:rPr>
        <w:t>Resultados de Aprendizaje al Finalizar (Learning Outcomes):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20"/>
        </w:rPr>
        <w:t>Representar componentes, flujos, dependencias y fronteras de un sistema.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20"/>
        </w:rPr>
        <w:t>Explicar identidad, acceso y protección del transporte sin confundir sus funciones.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20"/>
        </w:rPr>
        <w:t>Construir controles con alcance, responsables, procedimientos y evidencia.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20"/>
        </w:rPr>
        <w:t>Interpretar vulnerabilidades y justificar su tratamiento y validación.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20"/>
        </w:rPr>
        <w:t>Preparar documentación de seguridad y reportar señales de incidente.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03366"/>
          <w:sz w:val="22"/>
        </w:rPr>
        <w:t>Distribución Modular del Programa (80 Horas — 20 Sesiones):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4896"/>
        <w:gridCol w:w="1296"/>
        <w:gridCol w:w="1584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Área de Formación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Sesiones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Sistemas y gestión informática para la seguridad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 a 3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Identidad y control de acceso en aplicaciones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4 a 6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de controles y responsabilidades de seguridad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7 a 8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Seguridad de comunicaciones web y APIs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9 a 11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5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Ciclo de vida y gestión de vulnerabilidades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12 a 14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6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Documentación y gestión del riesgo de seguridad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15 a 16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7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Estándares, regulaciones e informes de aseguramiento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17 a 18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8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Higiene digital y respuesta inicial a incidentes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19 a 20</w:t>
            </w:r>
          </w:p>
        </w:tc>
      </w:tr>
      <w:tr>
        <w:tc>
          <w:tcPr>
            <w:tcW w:type="dxa" w:w="2340"/>
            <w:shd w:fill="EDF2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TOTAL</w:t>
            </w:r>
          </w:p>
        </w:tc>
        <w:tc>
          <w:tcPr>
            <w:tcW w:type="dxa" w:w="2340"/>
            <w:shd w:fill="EDF2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Módulos de Especialización Técnica</w:t>
            </w:r>
          </w:p>
        </w:tc>
        <w:tc>
          <w:tcPr>
            <w:tcW w:type="dxa" w:w="2340"/>
            <w:shd w:fill="EDF2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80 h</w:t>
            </w:r>
          </w:p>
        </w:tc>
        <w:tc>
          <w:tcPr>
            <w:tcW w:type="dxa" w:w="2340"/>
            <w:shd w:fill="EDF2F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20 Sesiones</w:t>
            </w:r>
          </w:p>
        </w:tc>
      </w:tr>
    </w:tbl>
    <w:p>
      <w:r>
        <w:br w:type="page"/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32"/>
        </w:rPr>
        <w:t>Temario Detallado del Programa: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1: Sistemas y gestión informática para la seguridad (12 Horas | 3 Sesiones: 1 a 3)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Identificar activos, servicios, dependencias y responsables para delimitar el impacto de una falla o un riesgo de seguridad.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1.1 Fundamentos de seguridad de la información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Distingue confidencialidad, integridad y disponibilidad en un caso laboral.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Información, datos y activos esenciales de una organización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Conceptos clave: amenaza, vulnerabilidad, riesgo, control e incidente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Ejemplos reales de exposición, alteración e interrupción de servicios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Clasificación inicial de la información: pública, interna, confidencial y restringida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1.2 Soporte técnico y gestión de servicios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Clasifica una solicitud y documenta su atención con responsables y evidencia.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Principios fundamentales de ITIL aplicados al soporte: valor, colaboración, visibilidad, mejora y simplicidad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Mesa de servicio: incidente, solicitud de servicio, problema y gestión de cambios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Matriz de prioridad por impacto y urgencia; acuerdos de nivel de servicio (SLA), aprobaciones y cierre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técnica entre incidente operativo de servicio e incidente de seguridad de la información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1.3 Redes y sistemas locales y en la nube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Lee y dibuja un diagrama básico explicando qué depende de qué.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Componentes de infraestructura: servidor físico/virtual, sistema operativo, cliente, base de datos y almacenamiento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Topologías de red: LAN, WAN, Internet, switches, puntos de acceso inalámbrico y enlaces de comunicación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Flujos fundamentales: transporte, procesamiento y almacenamiento de datos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Entornos on-premises y nube: diagramación lógica, dirección de flujos, dependencias y límites del sistema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1.4 Software y servicios digitales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Delimita las capacidades de un servicio y las responsabilidades del cliente y del proveedor.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Diferencias entre programa local, aplicación corporativa y servicio digital consumido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Modelos de servicio en la nube: IaaS, PaaS y SaaS; experiencia del usuario final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Relación operativa entre disponibilidad, desempeño y seguridad de la información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Servicios auxiliares: identidad, correo, respaldo, protección de endpoint (EDR) y monitoreo; matriz de responsabilidad compartida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Dibujar el sistema de una empresa ficticia con equipos, red, servidor y SaaS; delimitar su alcance y registrar un incidente con impacto, responsable y evidencia.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2: Identidad y control de acceso en aplicaciones (12 Horas | 3 Sesiones: 4 a 6)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Explicar el flujo de acceso de una aplicación y distinguir autenticación, autorización, sesión y federación.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2.1 Autenticación y ciclo de sesión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Reconstruye el inicio, validación y cierre de una sesión, señalando quién valida cada paso.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Fases del ciclo: identificación, prueba de identidad, validación, creación de sesión, expiración, cierre y revocación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Entidades del flujo: aplicación cliente, proveedor de identidad (IdP) y dueño del recurso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Políticas de registro, recuperación de cuenta, protección de credenciales y límites de intentos fallidos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Principio de separación: la autenticación exitosa no equivale a autorización para todas las acciones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2.2 Autenticación multifactor (MFA)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Compara factores y describe un procedimiento de enrolamiento y recuperación.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Factores estándar: conocimiento (lo que sé), posesión (lo que tengo) e inherencia (lo que soy)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Mecanismos comunes: contraseñas de un solo uso (OTP), aplicaciones autenticadoras, notificaciones push y llaves físicas FIDO2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Análisis de fricción, ataques de phishing a MFA y fatiga de aprobación de notificaciones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Métodos resistentes al phishing, protocolos de pérdida de factor, recuperación de cuenta y control de excepciones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2.3 SSO y federación de identidad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Compara un acceso local con un acceso mediante un proveedor de identidad.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Single Sign-On (SSO): reutilización centralizada de una autenticación entre múltiples aplicaciones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Flujo de interacción: usuario, aplicación consumidora (SP) y proveedor de identidad (IdP)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Relaciones de confianza y manejo de sesiones independientes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Beneficios de administración centralizada y riesgos de concentración; análisis del cierre de sesión (Single Logout)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2.4 Protocolos y credenciales de acceso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Ubica cada tecnología en su función sin tratarlas como equivalentes.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SAML 2.0: intercambio de aserciones XML para federación empresarial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LDAP: protocolo de acceso a directorios para consulta y validación de credenciales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OAuth 2.0 (delegación de autorización) vs. OpenID Connect (capa de identidad y autenticación)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Bearer Tokens: credenciales de portador, transporte seguro TLS, alcance (scope), expiración y flujo PKCE sin código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2.5 RBAC y gestión de usuarios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Construye una matriz simple de roles y permisos coherente con las tareas.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Control de Acceso Basado en Roles (RBAC): usuario, grupo, rol, recurso protegido y acción permitida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Ciclo de vida del usuario: altas (onboarding), modificaciones de puesto y bajas inmediatas (offboarding)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Tipos de cuenta: personales, administrativas, cuentas de servicio técnico y cuentas de emergencia (break-glass)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Propietario responsable de cada cuenta, revisiones periódicas de acceso, cálculo de permisos efectivos y revocación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Representar un inicio de sesión local y uno federado; construir una matriz de permisos y resolver la baja de un usuario con sesiones activas.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3: Diseño de controles y responsabilidades de seguridad (8 Horas | 2 Sesiones: 7 a 8)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Convertir principios de seguridad en controles delimitados, asignados y verificables.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3.1 Mínimo privilegio construido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Justifica cada permiso y propone una verificación de acceso efectivo.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Definición precisa: tareas laborales, recursos requeridos, acciones autorizadas y ventana de tiempo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Regla de denegación por defecto (deny by default) y concesión explícita de accesos justificados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Separación estricta entre cuenta de uso diario no privilegiada y cuenta con privilegios administrativos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Permisos temporales (Just-in-Time), flujos de aprobación y eliminación de roles genéricos excesivos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3.2 Delimitación del alcance y fronteras de confianza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Redacta inclusiones, exclusiones y dependencias de un control.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Definición del perímetro: objeto protegido, usuarios, datos sensibles, sistemas, ambientes (dev/prod) y acciones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Identificación de puntos de entrada, interfaces de comunicación, proveedores terceros y límites de confianza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verificabilidad: un control debe especificar exactamente dónde actúa y qué evidencia demuestra su cobertura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Riesgos de la presunción 'aplica a todo' sin un inventario formal y verificable de activos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3.3 Arquitectura Zero Trust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Explica una decisión de acceso basada en identidad, recurso y contexto.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Evolución de la seguridad: superación de la confianza implícita basada únicamente en la ubicación de red interna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Pilares fundamentales: verificación explícita, mínimo privilegio y asunción de brecha de seguridad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Evaluación contextual en tiempo real: estado del dispositivo, identidad del usuario, criticidad del recurso y sesión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Microsegmentación y contención del movimiento lateral; aclaración: Zero Trust es un marco arquitectónico, no un producto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3.4 Segregación de funciones y responsabilidad compartida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Distribuye planeación, aprobación, ejecución, cumplimiento y auditoría evitando autoaprobación.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Identificación de funciones incompatibles en los flujos organizacionales y necesidad de revisión independiente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Aplicación de la Matriz RACI (Responsable, Aprobador, Consultado, Informado) y controles compensatorios en equipos pequeños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Distinción entre segregación de funciones interna y matriz de responsabilidad compartida con proveedores de nube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control: pertenecer al mismo departamento tecnológico no elimina la obligación de separar funciones críticas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3.5 Trazabilidad de extremo a extremo mediante logs y SIEM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Lee registros básicos y correlaciona eventos para reconstruir un proceso, separando hechos de hipótesis.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Naturaleza de los logs: registros de eventos en fuentes de identidad, servidores, aplicaciones, firewalls y nube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Campos de lectura universal: marca de tiempo y zona horaria (UTC), actor, IP origen, recurso destino, acción y resultado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Definición y función de un SIEM (Security Information and Event Management): centralización, normalización y correlación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conceptual clave: evento (registro neutral), alerta (anomalía detectada) e incidente (daño confirmado)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Requisitos de telemetría: integridad de logs, retención normada, sincronización NTP y cobertura de fuentes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Lectura práctica de logs de autenticación Windows (Event IDs 4625 y 4624), denegaciones de firewall y denegaciones de aplicación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Diseñar un acceso temporal con roles separados y reconstruirlo mediante ticket y logs correlacionados. Identificar campos faltantes, fuentes necesarias y una alerta que todavía requiere investigación.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4: Seguridad de comunicaciones web y APIs (12 Horas | 3 Sesiones: 9 a 11)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Explicar cómo se transporta y protege una comunicación web, qué valida TLS y dónde permanecen los riesgos.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4.1 Criptografía y protección de datos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Distingue cifrado, hash y firma y explica el papel de las claves.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Conceptos fundamentales: texto en claro, algoritmo criptográfico, clave de seguridad, cifrado y descifrado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Cifrado simétrico (AES) vs. asimétrico (RSA/ECC), intercambio de claves Diffie-Hellman y firmas digitales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Protección de datos en tránsito (TLS) y datos en reposo (cifrado de discos y bases de datos); gestión de claves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Aclaraciones técnicas: una función hash no es cifrado reversible; cifrar no garantiza disponibilidad ni autorización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4.2 HTTP, HTTPS, TLS y certificados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Describe el establecimiento conceptual de una conexión HTTPS.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del protocolo HTTP: solicitud y respuesta, URL, métodos (GET, POST), códigos de estado (200, 401, 403, 500) y cabeceras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Funcionamiento de HTTPS sobre TLS: negociación de parámetros (handshake), autenticación del servidor y acuerdo de claves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del certificado digital X.509: vinculación de identidad con clave pública, nombre de dominio (SAN), emisor y vigencia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seguridad: la presencia de un certificado SSL/TLS no prueba que el contenido del sitio web sea legítimo u honesto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4.3 Cadena de confianza y autoridades certificadoras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Explica por qué un certificado es aceptado o rechazado por un cliente.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Jerarquía de confianza: Autoridad Certificadora (CA) raíz, CAs intermedias y almacén de certificados de confianza del sistema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Criterios de validación del cliente: coincidencia exacta del nombre de host, periodo de vigencia y listas de revocación (CRL/OCSP)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Certificados públicos comerciales vs. certificados autofirmados de laboratorio; configuración de confianza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Gestión de certificados: emisión, renovación programada y riesgo operacional de ignorar advertencias del navegador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4.4 Exposición y componentes del recorrido web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Identifica la función de cada componente y los datos que puede observar.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Direccionamiento y resolución: direcciones IP públicas y privadas (RFC 1918), servidores DNS y registros A, AAAA y CNAME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Dispositivos de borde: router (enrutamiento), firewall perimetral (control de tráfico) y proxy (intermediación de solicitudes)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Diferencias entre Proxy directo (Forward Proxy) y Proxy inverso (Reverse Proxy), traducción de direcciones NAT y WAN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Visibilidad de metadatos: la información que TLS no oculta (SNI, IP destino) y la inspección de contenido en terminación TLS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4.5 APIs y límites de seguridad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Reconoce un recurso expuesto y propone controles básicos sobre su uso.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Arquitectura de APIs REST: endpoints, métodos HTTP, peticiones con parámetros y cuerpos en formato JSON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Mecanismos de control: autenticación por API keys/tokens Bearer, autorización a nivel de función y de objeto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Validación de entradas, límites de tasa de consumo (Rate Limiting) y registro de actividad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Vulnerabilidades comunes: fuga de tokens, exposición excesiva de datos; HTTPS protege el canal pero no la lógica de acceso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Trazar navegador, DNS, router, firewall, proxy y servidor; revisar un certificado y una petición de API de ejemplo sin usar credenciales reales.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5: Ciclo de vida y gestión de vulnerabilidades (12 Horas | 3 Sesiones: 12 a 14)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Relacionar inventario, soporte, cambios y hallazgos para decidir entre actualizar, mitigar, sustituir o retirar.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5.1 Activos de hardware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Define un ciclo de vida con propietario, fechas y criterios de retiro.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Gestión del inventario de activos físicos: criticidad para el negocio, ubicación geográfica y custodio asignado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Etapas del ciclo de vida del hardware: adquisición, recepción formal, puesta en operación, mantenimiento y retiro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Fechas críticas del fabricante: Fin de Venta (End of Sale), Fin de Vida Útil (EOL) y Fin de Soporte (EOS)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análisis: antigüedad no equivale automáticamente a vulnerabilidad; protocolos de borrado seguro y desecho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5.2 Servicios tercerizados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Establece seguimiento de cambios y compromisos de seguridad del proveedor.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Gestión de proveedores de tecnología: evaluación de seguridad previa, contratación, seguimiento de cambios y salida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Monitoreo de notas de versión (release notes), avisos de seguridad y calendarios de deprecación de funciones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Desafíos de la nube: falta de control sobre cuándo actualiza el proveedor SaaS; evaluación de impacto en la operación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Estrategias de salida: exportación íntegra de datos, eliminación certificada de respaldos y revocación de accesos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5.3 Servidores y sistemas operativos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Propone actualización o retiro según soporte, exposición y dependencias.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Inventario de sistemas operativos, versiones de compilación, estado de soporte del fabricante y servicios expuestos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Distinción técnica entre actualización menor, parche de seguridad crítico y actualización mayor de versión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Gestión de cambios de parches: inventario, verificación de respaldos previos, pruebas en ambiente no productivo y ventana de despliegue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Planes de reversión (rollback); retiro seguro de servidores antiguos sin dejar registros DNS huérfanos o cuentas abandonadas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5.4 Software y dependencias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Identifica componentes cuyo mantenimiento afecta la seguridad de una aplicación.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Inventario de aplicaciones autorizadas, licencias activas y dependencias de software instalado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Componentes invisibles: bibliotecas compartidas, módulos de terceros, complementos (plugins) y agentes de gestión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Protocolos de desinstalación limpia y remoción de permisos residuales en el sistema operativo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verificación: instalar una versión nueva no garantiza por sí sola la corrección de un hallazgo si la configuración sigue vulnerable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5.5 Lectura y tratamiento de vulnerabilidades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Interpreta un registro y formula una acción verificable para el activo afectado.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del identificador CVE (Common Vulnerabilities and Exposures), descripción del fallo y productos afectados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Métricas de severidad CVSS (Common Vulnerability Scoring System): vector base frente a prioridad real por exposición del activo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entre parche definitivo, mitigación temporal, ajuste de configuración y retiro del servicio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Caso de estudio: protocolos obsoletos (TLS 1.0/1.1) habilitados en un servicio y procedimiento de remediación sin parche específico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Completar inventario y plan de ciclo de vida; leer un aviso real preparado por el docente y justificar tratamiento, pruebas, reversión y evidencia de cierre.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6: Documentación y gestión del riesgo de seguridad (8 Horas | 2 Sesiones: 15 a 16)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Redactar documentos de seguridad utilizables y justificar decisiones sobre riesgos con responsabilidades y evidencia.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6.1 Políticas y estructura documental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Redacta una regla con alcance, responsable y forma de verificarla.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Pirámide documental de seguridad: políticas corporativas, estándares técnicos, procedimientos operativos y guías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Elementos obligatorios de una política: propósito, alcance explícito, reglas mandatorias, responsables, excepciones y revisión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redacción: una declaración general abstracta no es un control si carece de especificaciones operativas verificables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6.2 Procedimientos operativos estándar (SOP)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Describe pasos ejecutables con condiciones de inicio y cierre.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 un SOP: objetivo, alcance, prerrequisitos, roles intervinientes, pasos secuenciales y caminos de decisión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Manejo de excepciones, puntos de escalamiento a niveles superiores, evidencia generada y criterios de cierre exitoso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Regla de oro de usabilidad: un procedimiento debe permitir que cualquier técnico calificado lo ejecute sin necesidad de adivinar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Control de versiones, fechas de vigencia y trazabilidad de cambios en la documentación técnica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6.3 Evaluación y tratamiento de riesgos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Documenta un escenario sustentado y distingue riesgo inherente y residual.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Construcción del escenario de riesgo: activo e información involucrada, amenaza latente y vulnerabilidad explotable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Criterios de valoración: estimación de impacto en el negocio y probabilidad de ocurrencia según controles existentes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conceptual: riesgo inherente (sin controles) vs. riesgo residual (remanente tras aplicar salvaguardas)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Opciones de tratamiento: evitar el riesgo, mitigarlo mediante controles, transferirlo (seguros) o aceptarlo formalmente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6.4 Aceptación del riesgo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Formula una aceptación temporal para decisión de la autoridad competente.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 una solicitud formal de aceptación: justificación del riesgo residual, análisis de alternativas y controles compensatorios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Nivel de autoridad: el técnico que implementa no tiene facultades para aceptar riesgos en nombre de la organización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Temporalidad y condiciones: vigencia delimitada, fecha de revisión obligatoria y causales de revocación inmediata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Límites legales y éticos: la aceptación interna del riesgo no exime a la entidad del cumplimiento de normativas ni leyes vigentes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Preparar una política de accesos, un SOP de baja de usuario, una evaluación de riesgo y una solicitud de aceptación temporal relacionadas con el mismo caso.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7: Estándares, regulaciones e informes de aseguramiento (8 Horas | 2 Sesiones: 17 a 18)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Distinguir finalidad, alcance y evidencia de PCI DSS, ISO/IEC 27001, HIPAA y los informes SOC.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7.1 Estándar PCI DSS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Identifica datos de pago y delimita conceptualmente el entorno que debe revisarse.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Payment Card Industry Data Security Standard: objetivo de protección de datos de titulares de tarjetas de pago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Delimitación del Entorno de Datos del Titular (CDE): sistemas que almacenan, procesan, transmiten o influyen en la seguridad del CDE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Requisitos fundamentales de acceso, cifrado, monitoreo de redes y preservación de registros de auditoría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Nociones de validación del cumplimiento: cuestionarios de autoevaluación (SAQ) y auditorías formales (introducción de 2 horas)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7.2 ISO/IEC 27001 y la familia 27000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Relaciona riesgos, controles y mejora con un sistema de gestión.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Estructura del Sistema de Gestión de Seguridad de la Información (SGSI): ISO/IEC 27001:2022 y guía de controles ISO/IEC 27002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Requisitos normativos: contexto organizacional, liderazgo gerencial, evaluación y tratamiento de riesgos y mejora continua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Declaración de Aplicabilidad (SoA): selección justificada de controles aplicables y exclusiones documentadas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Alcance de la certificación: la norma certifica un alcance o proceso específico, no a toda la empresa como entidad universal (2 horas)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7.3 Regulación HIPAA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Reconoce cuándo requiere revisión de aplicabilidad y qué información protege.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Health Insurance Portability and Accountability Act de EE.UU.: protección de información de salud protegida electrónica (ePHI)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Entidades cubiertas (proveedores de salud, planes médicos) y socios comerciales tecnológicos (Business Associates)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Reglas de HIPAA: Regla de Privacidad, Regla de Seguridad (salvaguardas administrativas, físicas y técnicas) y Regla de Notificación de Brechas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aplicabilidad en empresas tecnológicas guatemaltecas que prestan servicios offshore al sector salud de EE.UU. (2 horas)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7.4 Informes de aseguramiento SOC 1 y SOC 2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Distingue el objeto del informe y su tipo antes de usarlo como evidencia.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de objetivos: SOC 1 (controles sobre reportes financieros) vs. SOC 2 (criterios de confianza: seguridad, disponibilidad, integridad)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Diferenciación de tipos de informe: Tipo I (diseño de controles a una fecha fija) vs. Tipo II (diseño y efectividad operativa durante un período)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Lectura crítica de un informe SOC: opinión del auditor independiente, excepciones encontradas, subcontratistas y controles del cliente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Criterio de interpretación: un informe SOC es una opinión de aseguramiento independiente, no una certificación automática de infalibilidad (2 horas)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Comparar una empresa que procesa pagos, un proveedor de servicios y una operación con ePHI; justificar qué referencia revisar y qué evidencia pedir. Cada caso requiere comprobar aplicabilidad.</w:t>
      </w:r>
    </w:p>
    <w:p>
      <w:pPr>
        <w:spacing w:before="280" w:after="60" w:line="276" w:lineRule="auto"/>
      </w:pPr>
      <w:r>
        <w:rPr>
          <w:rFonts w:ascii="Calibri" w:hAnsi="Calibri"/>
          <w:b/>
          <w:color w:val="003366"/>
          <w:sz w:val="25"/>
        </w:rPr>
        <w:t>Módulo 8: Higiene digital y respuesta inicial a incidentes (8 Horas | 2 Sesiones: 19 a 20)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1"/>
        </w:rPr>
        <w:t xml:space="preserve">**Objetivo del módulo:** </w:t>
      </w:r>
      <w:r>
        <w:rPr>
          <w:rFonts w:ascii="Calibri" w:hAnsi="Calibri"/>
          <w:color w:val="1A202C"/>
          <w:sz w:val="21"/>
        </w:rPr>
        <w:t>Aplicar hábitos de protección e identificar y reportar señales de riesgo de manera oportuna y documentada.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8.1 Credenciales, identidad y equipos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Asocia cada actividad con un usuario responsable y protege sus credenciales.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Buenas prácticas en el uso de contraseñas: prohibición de notas adhesivas, contraseñas únicas y uso de gestores autorizados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Uso seguro de MFA: prohibición estricta de compartir códigos temporales o aceptar solicitudes push no generadas por el usuario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Responsabilidad de cuentas: uso obligatorio de cuentas individuales y asignación formal de custodio para cuentas técnicas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Higiene en estaciones de trabajo: bloqueo automático de pantalla, permisos de usuario estándar y separación de actividades personales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8.2 Protección cotidiana de la información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Decide cómo almacenar, compartir y recuperar información según su sensibilidad.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Canales corporativos autorizados, verificación de destinatarios legítimos y asignación de permisos de lectura/edición en documentos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Importancia de la instalación oportuna de actualizaciones del sistema operativo y herramientas de seguridad del endpoint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Control de medios de almacenamiento extraíbles (USB) y prohibición de software no autorizado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Rutinas de respaldo de datos, verificación periódica de restauración y política de escritorio limpio para información física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8.3 Ingeniería social y comunicaciones sospechosas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Identifica señales y verifica una solicitud por un canal independiente.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Vectores de ataque: Phishing por correo electrónico, Smishing (SMS), Vishing (llamadas telefónicas), códigos QR maliciosos (Quishing) y suplantación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Indicadores de sospecha: incoherencias en dirección de remitente, sentido de urgencia desmedido, enlaces ofuscados y solicitudes de pagos o credenciales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Desmitificación técnica: la presencia de candado HTTPS y una redacción impecable no garantizan que el mensaje sea genuino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Protocolo de verificación fuera de banda (out-of-band) utilizando números telefónicos o canales previamente conocidos y validados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8.4 Reporte y respuesta inicial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Documenta el evento y escala sin destruir evidencia ni investigar fuera de su rol.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Información indispensable en un reporte: qué ocurrió, cuándo ocurrió (hora y fecha), quién lo detectó, activo afectado y acciones inmediatas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Canales formales de escalamiento hacia la mesa de ayuda o el equipo de seguridad; preservación intacta del mensaje y evidencias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Protocolo de emergencia ante compromiso de credenciales: reporte urgente, activación de revocación de sesiones y cambio de contraseña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Límites de actuación del personal inicial: contención según instrucciones recibidas, sin realizar indagaciones invasivas que alteren registros</w:t>
      </w:r>
    </w:p>
    <w:p>
      <w:pPr>
        <w:spacing w:before="80" w:after="40" w:line="276" w:lineRule="auto"/>
        <w:ind w:left="288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8.5 Proyecto integrador de ciberseguridad</w:t>
      </w:r>
    </w:p>
    <w:p>
      <w:pPr>
        <w:spacing w:before="20" w:after="40" w:line="276" w:lineRule="auto"/>
        <w:ind w:left="576"/>
      </w:pPr>
      <w:r>
        <w:rPr>
          <w:rFonts w:ascii="Calibri" w:hAnsi="Calibri"/>
          <w:b/>
          <w:color w:val="4A5568"/>
          <w:sz w:val="20"/>
        </w:rPr>
        <w:t xml:space="preserve">**Indicador de logro:** </w:t>
      </w:r>
      <w:r>
        <w:rPr>
          <w:rFonts w:ascii="Calibri" w:hAnsi="Calibri"/>
          <w:color w:val="1A202C"/>
          <w:sz w:val="20"/>
        </w:rPr>
        <w:t>Sustenta un conjunto coherente de controles con alcance, responsables y evidencias.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Consolidación integral del expediente de seguridad del caso transversal desarrollado durante el curso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Revisión de consistencia: diagrama de arquitectura, matriz RBAC, trazabilidad en logs, inventario de ciclo de vida, política y SOP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Justificación razonada de la selección de marcos de cumplimiento y protocolo de respuesta ante una comunicación sospechosa</w:t>
      </w:r>
    </w:p>
    <w:p>
      <w:pPr>
        <w:spacing w:before="20" w:after="20" w:line="276" w:lineRule="auto"/>
        <w:ind w:left="864"/>
      </w:pPr>
      <w:r>
        <w:rPr>
          <w:rFonts w:ascii="Calibri" w:hAnsi="Calibri"/>
          <w:color w:val="4A5568"/>
          <w:sz w:val="19"/>
        </w:rPr>
        <w:t xml:space="preserve">– </w:t>
      </w:r>
      <w:r>
        <w:rPr>
          <w:rFonts w:ascii="Calibri" w:hAnsi="Calibri"/>
          <w:color w:val="1A202C"/>
          <w:sz w:val="19"/>
        </w:rPr>
        <w:t>Exposición técnica oral individual o en célula ante jurado evaluador de Fundación Kinal, rondas de preguntas y retroalimentación final</w:t>
      </w:r>
    </w:p>
    <w:p>
      <w:pPr>
        <w:spacing w:before="80" w:after="200" w:line="276" w:lineRule="auto"/>
        <w:ind w:left="288"/>
      </w:pPr>
      <w:r>
        <w:rPr>
          <w:rFonts w:ascii="Calibri" w:hAnsi="Calibri"/>
          <w:b/>
          <w:color w:val="003366"/>
          <w:sz w:val="20"/>
        </w:rPr>
        <w:t xml:space="preserve">**Aplicación y evidencia del módulo:** </w:t>
      </w:r>
      <w:r>
        <w:rPr>
          <w:rFonts w:ascii="Calibri" w:hAnsi="Calibri"/>
          <w:i/>
          <w:color w:val="1A202C"/>
          <w:sz w:val="20"/>
        </w:rPr>
        <w:t>Analizar mensajes ficticios, simular un reporte y presentar el expediente de seguridad construido durante el curso con sus límites y evidencias.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Calibri" w:hAnsi="Calibri"/>
          <w:b/>
          <w:color w:val="003366"/>
          <w:sz w:val="30"/>
        </w:rPr>
        <w:t>Evaluación del Aprendizaje y Proyecto Integrador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1"/>
        </w:rPr>
        <w:t>La evaluación valora la comprensión conceptual y la capacidad práctica de convertirla en acciones delimitadas y verificables bajo el principio institucional del «trabajo bien hecho». Conforme a la normativa de Fundación Kinal, la nota mínima de aprobación es de 75 puntos sobre 100: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1584"/>
        <w:gridCol w:w="4464"/>
      </w:tblGrid>
      <w:tr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de Evaluación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y Criterio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Comprobaciones de aprendizaje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20%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Respuestas breves, interpretación de flujos y defensa de decisiones en clase.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Productos de los módulos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40%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Diagramas de arquitectura, matrices RBAC, fichas y documentos revisados.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integrador (Expediente)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40%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Expediente de seguridad coherente y presentación sustentada del caso.</w:t>
            </w:r>
          </w:p>
        </w:tc>
      </w:tr>
    </w:tbl>
    <w:p>
      <w:pPr>
        <w:spacing w:before="240" w:after="80" w:line="276" w:lineRule="auto"/>
      </w:pPr>
      <w:r>
        <w:rPr>
          <w:rFonts w:ascii="Calibri" w:hAnsi="Calibri"/>
          <w:b/>
          <w:color w:val="003366"/>
          <w:sz w:val="22"/>
        </w:rPr>
        <w:t>Rúbrica Analítica del Proyecto Integrador: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6480"/>
        <w:gridCol w:w="2880"/>
      </w:tblGrid>
      <w:tr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Técnico Evaluado</w:t>
            </w:r>
          </w:p>
        </w:tc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Peso en el Proyecto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Corrección conceptual y distinción rigurosa de funciones técnicas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25%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Alcance explícito y coherencia entre componentes, flujos y documentos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20%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Controles y tratamiento del riesgo debidamente justificados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25%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Asignación de responsables y evidencia de verificación y trazabilidad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20%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Claridad, serenidad y solvencia en la presentación oral y respuestas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10%</w:t>
            </w:r>
          </w:p>
        </w:tc>
      </w:tr>
    </w:tbl>
    <w:p>
      <w:r>
        <w:br w:type="page"/>
      </w:r>
    </w:p>
    <w:p>
      <w:pPr>
        <w:spacing w:before="200" w:after="120" w:line="276" w:lineRule="auto"/>
      </w:pPr>
      <w:r>
        <w:rPr>
          <w:rFonts w:ascii="Calibri" w:hAnsi="Calibri"/>
          <w:b/>
          <w:color w:val="003366"/>
          <w:sz w:val="30"/>
        </w:rPr>
        <w:t>Recursos de Aprendizaje, Herramientas y Esquema de Precios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curso emplea computadoras, navegadores web, editores de documentos y herramientas de diagramación. Todos los ejercicios utilizan datos ficticios y no solicitan contraseñas reales. Para garantizar viabilidad económica a personas desempleadas, el software seleccionado es prioritariamente Open Source ($0.00) y de acceso académico oficial a través de la membresía de Fundación Kinal como Cisco Networking Academy: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2160"/>
        <w:gridCol w:w="2016"/>
        <w:gridCol w:w="2592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Herramienta Tecnológica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Tipo / Licencia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Costo Mensual / Anual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Función en el Programa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Wazuh SIEM &amp; XDR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Open Source (GPL)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Recolección y correlación de logs, detección y triaje en Módulo 3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Wireshark &amp; tcpdump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Open Source (GPL)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Captura e inspección de protocolos web, TLS y DNS en Módulo 4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Greenbone (OpenVAS)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Open Source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Escaneo de vulnerabilidades y lectura de avisos en Módulo 5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Oracle VirtualBox / VMs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Open Source (GPL)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Despliegue de servidores Linux/Windows para prácticas de laboratorio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Cisco Packet Tracer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Cisco NetAcad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de topologías de red, switches y firewalls corporativos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Cisco Snort IDS/IPS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Cisco Talos (GPL)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$0.00 / mes (Gratuito)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Detección de tráfico de intrusión basada en firmas (reglas comunitarias)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Cisco Modeling Labs (CML)</w:t>
              <w:br/>
              <w:t>[Herramienta Opcional]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Cisco Comercial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$199.00 USD / año</w:t>
              <w:br/>
              <w:t>(~$16.58 USD / mes)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Emulación avanzada para instructor (no requerida para alumnos)</w:t>
            </w:r>
          </w:p>
        </w:tc>
      </w:tr>
    </w:tbl>
    <w:p>
      <w:pPr>
        <w:spacing w:before="240" w:after="80" w:line="276" w:lineRule="auto"/>
      </w:pPr>
      <w:r>
        <w:rPr>
          <w:rFonts w:ascii="Calibri" w:hAnsi="Calibri"/>
          <w:b/>
          <w:color w:val="003366"/>
          <w:sz w:val="24"/>
        </w:rPr>
        <w:t>Referencias Oficiales para la Preparación Docente: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Microsoft Learn: </w:t>
      </w:r>
      <w:r>
        <w:rPr>
          <w:rFonts w:ascii="Calibri" w:hAnsi="Calibri"/>
          <w:color w:val="1A202C"/>
          <w:sz w:val="18"/>
        </w:rPr>
        <w:t>SIEM y registros de seguridad de Windows — https://learn.microsoft.com/en-us/azure/sentinel/overview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NIST SP 800-207: </w:t>
      </w:r>
      <w:r>
        <w:rPr>
          <w:rFonts w:ascii="Calibri" w:hAnsi="Calibri"/>
          <w:color w:val="1A202C"/>
          <w:sz w:val="18"/>
        </w:rPr>
        <w:t>Zero Trust Architecture — https://www.nist.gov/publications/zero-trust-architecture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PeopleCert: </w:t>
      </w:r>
      <w:r>
        <w:rPr>
          <w:rFonts w:ascii="Calibri" w:hAnsi="Calibri"/>
          <w:color w:val="1A202C"/>
          <w:sz w:val="18"/>
        </w:rPr>
        <w:t>Prácticas de gestión de servicios de ITIL — https://www.peoplecert.org/browse-certifications/it-governance-and-service-management/itil-practice-manager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IETF RFC 6749 y RFC 9700: </w:t>
      </w:r>
      <w:r>
        <w:rPr>
          <w:rFonts w:ascii="Calibri" w:hAnsi="Calibri"/>
          <w:color w:val="1A202C"/>
          <w:sz w:val="18"/>
        </w:rPr>
        <w:t>OAuth 2.0 y Security Best Current Practice — https://www.rfc-editor.org/rfc/rfc9700.html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OpenID Foundation: </w:t>
      </w:r>
      <w:r>
        <w:rPr>
          <w:rFonts w:ascii="Calibri" w:hAnsi="Calibri"/>
          <w:color w:val="1A202C"/>
          <w:sz w:val="18"/>
        </w:rPr>
        <w:t>OpenID Connect Core 1.0 — https://openid.net/specs/openid-connect-core-1_0.html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IETF RFC 8996: </w:t>
      </w:r>
      <w:r>
        <w:rPr>
          <w:rFonts w:ascii="Calibri" w:hAnsi="Calibri"/>
          <w:color w:val="1A202C"/>
          <w:sz w:val="18"/>
        </w:rPr>
        <w:t>Deprecating TLS 1.0 and TLS 1.1 — https://www.rfc-editor.org/rfc/rfc8996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NIST NVD: </w:t>
      </w:r>
      <w:r>
        <w:rPr>
          <w:rFonts w:ascii="Calibri" w:hAnsi="Calibri"/>
          <w:color w:val="1A202C"/>
          <w:sz w:val="18"/>
        </w:rPr>
        <w:t>Vulnerability Detail Pages — https://nvd.nist.gov/vuln/Vulnerability-Detail-Pages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PCI SSC: </w:t>
      </w:r>
      <w:r>
        <w:rPr>
          <w:rFonts w:ascii="Calibri" w:hAnsi="Calibri"/>
          <w:color w:val="1A202C"/>
          <w:sz w:val="18"/>
        </w:rPr>
        <w:t>PCI DSS y biblioteca de documentos — https://www.pcisecuritystandards.org/standards/pci-dss/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ISO: </w:t>
      </w:r>
      <w:r>
        <w:rPr>
          <w:rFonts w:ascii="Calibri" w:hAnsi="Calibri"/>
          <w:color w:val="1A202C"/>
          <w:sz w:val="18"/>
        </w:rPr>
        <w:t>ISO/IEC 27001:2022 Information Security Management — https://www.iso.org/standard/27001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HHS: </w:t>
      </w:r>
      <w:r>
        <w:rPr>
          <w:rFonts w:ascii="Calibri" w:hAnsi="Calibri"/>
          <w:color w:val="1A202C"/>
          <w:sz w:val="18"/>
        </w:rPr>
        <w:t>Summary of the HIPAA Security Rule — https://www.hhs.gov/hipaa/for-professionals/security/laws-regulations/index.html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AICPA y CIMA: </w:t>
      </w:r>
      <w:r>
        <w:rPr>
          <w:rFonts w:ascii="Calibri" w:hAnsi="Calibri"/>
          <w:color w:val="1A202C"/>
          <w:sz w:val="18"/>
        </w:rPr>
        <w:t>SOC Suite of Services (SOC 1 y SOC 2) — https://www.aicpa-cima.com/resources/landing/system-and-organization-controls-soc-suite-of-services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Ciberseguridad y Fundamentos de Seguridad de la Información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