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76" w:lineRule="auto"/>
      </w:pPr>
      <w:r>
        <w:rPr>
          <w:rFonts w:ascii="Calibri" w:hAnsi="Calibri"/>
          <w:b/>
          <w:color w:val="003366"/>
          <w:sz w:val="28"/>
        </w:rPr>
        <w:t>FUNDACIÓN KINAL</w:t>
      </w:r>
    </w:p>
    <w:p>
      <w:pPr>
        <w:spacing w:before="0" w:after="480" w:line="276" w:lineRule="auto"/>
      </w:pPr>
      <w:r>
        <w:rPr>
          <w:rFonts w:ascii="Calibri" w:hAnsi="Calibri"/>
          <w:color w:val="4A5568"/>
          <w:sz w:val="22"/>
        </w:rPr>
        <w:t>Escuela Técnica Superior — Coordinación de Formación Continua e Innovación</w:t>
      </w:r>
    </w:p>
    <w:p>
      <w:pPr>
        <w:spacing w:before="360" w:after="240" w:line="276" w:lineRule="auto"/>
      </w:pPr>
      <w:r>
        <w:rPr>
          <w:rFonts w:ascii="Calibri" w:hAnsi="Calibri"/>
          <w:b/>
          <w:color w:val="003366"/>
          <w:sz w:val="44"/>
        </w:rPr>
        <w:t>PROPUESTA FORMATIVA INSTITUCIONAL:</w:t>
        <w:br/>
        <w:t>CURSO DE MECATRÓNICA INDUSTRIAL Y FABRICACIÓN DIGITAL APLICADA</w:t>
      </w:r>
    </w:p>
    <w:p>
      <w:pPr>
        <w:spacing w:before="0" w:after="480" w:line="276" w:lineRule="auto"/>
      </w:pPr>
      <w:r>
        <w:rPr>
          <w:rFonts w:ascii="Calibri" w:hAnsi="Calibri"/>
          <w:i/>
          <w:color w:val="4A5568"/>
          <w:sz w:val="24"/>
        </w:rPr>
        <w:t>Integración Práctica de Impresión 3D, Corte Láser, Fresado CNC, Sensórica Industrial y Control para el Parque Productivo de Guatemala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6" w:space="0" w:color="CBD5E0"/>
          <w:insideV w:val="none"/>
          <w:left w:val="none"/>
          <w:right w:val="none"/>
        </w:tblBorders>
      </w:tblPr>
      <w:tblGrid>
        <w:gridCol w:w="3168"/>
        <w:gridCol w:w="6192"/>
      </w:tblGrid>
      <w:tr>
        <w:tc>
          <w:tcPr>
            <w:tcW w:type="dxa" w:w="46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>Nivel Formativo de Referencia: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20"/>
              </w:rPr>
              <w:t>Equivalencia DQR Nivel 4 - 5 (Cualificación técnica especializada y autonomía operativa)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>Duración Total: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20"/>
              </w:rPr>
              <w:t>90 horas pedagógicas presenciales (20 sesiones sabatinas de 4.5 horas)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>Temporalidad: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20"/>
              </w:rPr>
              <w:t>5 meses continuos (Febrero a Junio) — Sábados de 8:00 a 12:30 horas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>Modalidad: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20"/>
              </w:rPr>
              <w:t>Presencial en Talleres de Fabricación Digital y Automatización Kinal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>Distribución Metodológica: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20"/>
              </w:rPr>
              <w:t>25% Fundamentación Técnica / 75% Ejecución Práctica en Maquinaria y Banco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>Nota Mínima Aprobatoria: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20"/>
              </w:rPr>
              <w:t>75 puntos sobre 100 en todas las evaluaciones de módulo y proyecto terminal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>Sede: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20"/>
              </w:rPr>
              <w:t>Fundación Kinal — Sede Central, Zona 7, Ciudad de Guatemala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1. Marco Filosófico e Ideario Institucional de Fundación Kinal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2"/>
        </w:rPr>
        <w:t>El presente diseño formativo responde de manera estricta a la identidad, misión y valores de Fundación Kinal, asegurando que la capacitación técnica de vanguardia esté indisolublemente unida a la formación ética y humana: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1"/>
              </w:rPr>
              <w:t xml:space="preserve">Misión Institucional de Kinal: </w:t>
            </w:r>
            <w:r>
              <w:rPr>
                <w:rFonts w:ascii="Calibri" w:hAnsi="Calibri"/>
                <w:i/>
                <w:color w:val="2D3748"/>
                <w:sz w:val="21"/>
              </w:rPr>
              <w:t>«Formar a jóvenes y adultos a través de una educación integral, con énfasis en las áreas técnicas y tecnológicas, influyendo positivamente en su trabajo, su familia y la sociedad».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1"/>
              </w:rPr>
              <w:t xml:space="preserve">Valores Nucleares de Kinal: </w:t>
            </w:r>
            <w:r>
              <w:rPr>
                <w:rFonts w:ascii="Calibri" w:hAnsi="Calibri"/>
                <w:i/>
                <w:color w:val="2D3748"/>
                <w:sz w:val="21"/>
              </w:rPr>
              <w:t>«Visión cristiana de la vida. Respeto a la dignidad de la persona. Espíritu de servicio. Trabajo bien hecho. Libertad personal responsable».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03366"/>
          <w:sz w:val="26"/>
        </w:rPr>
        <w:t>1.1 El Principio Rector del «Trabajo Bien Hecho» en el Taller de Mecatrónica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1"/>
        </w:rPr>
        <w:t>En la formación mecatrónica de Kinal, el principio del «trabajo bien hecho» no es un concepto abstracto, sino una norma de ejecución tangible y evaluable en cada sesión de taller:</w:t>
        <w:br/>
        <w:t>• Precisión y Exactitud Dimensional: Cero holguras imprevistas; verificación rigurosa de tolerancias (±0.1 mm) en piezas cortadas en láser, impresas en 3D y mecanizadas en CNC.</w:t>
        <w:br/>
        <w:t>• Estética Industrial y Seguridad en Cableado: Prohibición total de conductores con hilos desnudos sueltos; uso obligatorio de casquillos de compresión aislados (ferrules), peinado estético en canaleta ranurada, separación física de potencia (110/220 VAC) y control (24 VDC), y rotulado alfanumérico según norma internacional IEC 60617.</w:t>
        <w:br/>
        <w:t>• Cultura de Seguridad Integral: Uso permanente del Equipo de Protección Personal (EPP), aplicación de procedimientos LOTO (consignación y bloqueo de energía) y protocolo 5S de orden y limpieza en bancos y máquinas.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2. Fundamentación Técnica y Pertinencia en el Mercado Laboral Guatemalteco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1"/>
        </w:rPr>
        <w:t>El sector industrial de Guatemala —liderado por empresas de alimentos y bebidas, plásticos, empaques flexibles, farmacéutica, ingenios azucareros y metalmecánica— se encuentra inmerso en una modernización hacia la automatización y la Industria 4.0. No obstante, las plantas productivas enfrentan cuellos de botella operacionales recurrentes:</w:t>
        <w:br/>
        <w:t>1. Obsolescencia y Ruptura de Piezas Mecánicas Descontinuadas: Muchas líneas europeas o americanas sufren paros costosos de semanas por falta de repuestos. Mediante ingeniería inversa, modelado CAD y manufactura aditiva (impresión 3D en filamentos técnicos PETG, Nylon o ABS) o sustractiva (fresado CNC), los egresados pueden solucionar contingencias en horas en el propio taller de mantenimiento.</w:t>
        <w:br/>
        <w:t>2. Demanda de Dispositivos Poka-Yoke y Nidos de Ensamble (Jigs &amp; Fixtures): La necesidad de asegurar calidad cero-defectos exige plantillas y fijaciones hechas a la medida. La cortadora láser y el router CNC permiten fabricar dispositivos de sujeción e inspección dimensional rápidos y de bajo costo.</w:t>
        <w:br/>
        <w:t>3. Transición de Líneas Manuales a Automatizadas: Las plantas requieren integrar actuadores neumáticos, motores a pasos y sensórica industrial con cableados ordenados y seguros.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3. Marco Alemán de Cualificaciones (DQR Nivel 4-5) y Enfoque Dual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1"/>
              </w:rPr>
              <w:t xml:space="preserve">Definición de Formación Profesional Dual: </w:t>
            </w:r>
            <w:r>
              <w:rPr>
                <w:rFonts w:ascii="Calibri" w:hAnsi="Calibri"/>
                <w:i/>
                <w:color w:val="2D3748"/>
                <w:sz w:val="21"/>
              </w:rPr>
              <w:t>«concepto de aprendizaje para jóvenes que tiene como objetivo preparar a los aprendices para su vida profesional, por lo que la formación se realiza en régimen de alternancia entre la escuela o el centro de formación y la empresa. El aprender en el proceso del trabajo es base y a la vez objetivo de la acción formativa».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1"/>
              </w:rPr>
              <w:t xml:space="preserve">Definición Oficial de Competencia según el DQR: </w:t>
            </w:r>
            <w:r>
              <w:rPr>
                <w:rFonts w:ascii="Calibri" w:hAnsi="Calibri"/>
                <w:i/>
                <w:color w:val="2D3748"/>
                <w:sz w:val="21"/>
              </w:rPr>
              <w:t>«the ability and readiness of the individual to use knowledge, skills and personal, social and methodological competences and to behave in a considered, individual and socially responsible manner. Competence is understood in this sense as the comprehensive ability to act».</w:t>
            </w:r>
          </w:p>
        </w:tc>
      </w:tr>
    </w:tbl>
    <w:p>
      <w:pPr>
        <w:spacing w:before="0" w:after="120"/>
      </w:pPr>
    </w:p>
    <w:p>
      <w:pPr>
        <w:spacing w:before="80" w:after="120" w:line="276" w:lineRule="auto"/>
      </w:pPr>
      <w:r>
        <w:rPr>
          <w:rFonts w:ascii="Calibri" w:hAnsi="Calibri"/>
          <w:b/>
          <w:color w:val="003366"/>
          <w:sz w:val="22"/>
        </w:rPr>
        <w:t>Estructura de la Matriz de Competencias DQR aplicada al Curso: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2304"/>
        <w:gridCol w:w="4464"/>
      </w:tblGrid>
      <w:tr>
        <w:tc>
          <w:tcPr>
            <w:tcW w:type="dxa" w:w="312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Dimensión DQR</w:t>
            </w:r>
          </w:p>
        </w:tc>
        <w:tc>
          <w:tcPr>
            <w:tcW w:type="dxa" w:w="312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Subdimensión</w:t>
            </w:r>
          </w:p>
        </w:tc>
        <w:tc>
          <w:tcPr>
            <w:tcW w:type="dxa" w:w="312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Evidencia de Desempeño en el Curso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Competencia Profesional</w:t>
              <w:br/>
              <w:t>(Fachkompetenz)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Conocimientos</w:t>
              <w:br/>
              <w:t>(Wissen)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Fundamentos cinemáticos de mecanismos, ciencia de polímeros y metales mecanizables, parámetros de corte CNC, física de sensores y lógica de control secuencial.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Competencia Profesional</w:t>
              <w:br/>
              <w:t>(Fachkompetenz)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Destrezas</w:t>
              <w:br/>
              <w:t>(Fertigkeiten)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Modelado CAD paramétrico 3D, programación CAM y Código G, operación segura de láser, impresora 3D y CNC, ensamble mecánico y cableado bajo norma IEC 60617.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Competencia Personal</w:t>
              <w:br/>
              <w:t>(Personale Kompetenz)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Competencia Social</w:t>
              <w:br/>
              <w:t>(Sozialkompetenz)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Trabajo coordinado en equipo en banco de taller, comunicación técnica asertiva, resolución compartida de fallas (troubleshooting) y espíritu de servicio.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Competencia Personal</w:t>
              <w:br/>
              <w:t>(Personale Kompetenz)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Autonomía</w:t>
              <w:br/>
              <w:t>(Selbständigkeit)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Planificación autónoma del flujo de manufactura, verificación dimensional metrológica, apego riguroso al EPP y autoexigencia del 'trabajo bien hecho'.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4. Perfiles de Ingreso y Egreso Institucional</w:t>
      </w:r>
    </w:p>
    <w:p>
      <w:pPr>
        <w:keepNext/>
        <w:spacing w:before="280" w:after="80"/>
      </w:pPr>
      <w:r>
        <w:rPr>
          <w:rFonts w:ascii="Calibri" w:hAnsi="Calibri"/>
          <w:b/>
          <w:color w:val="003366"/>
          <w:sz w:val="26"/>
        </w:rPr>
        <w:t>4.1 Perfil de Ingreso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2"/>
        </w:rPr>
        <w:t>Dirigido a técnicos, electromecánicos, bachilleres industriales y estudiantes de ingeniería con nociones básicas de electricidad o mecánica, interesados en manufactura y automatización, con compromiso de puntualidad, respeto a las normas de seguridad del taller y actitud hacia el aprendizaje técnico disciplinado.</w:t>
      </w:r>
    </w:p>
    <w:p>
      <w:pPr>
        <w:keepNext/>
        <w:spacing w:before="280" w:after="80"/>
      </w:pPr>
      <w:r>
        <w:rPr>
          <w:rFonts w:ascii="Calibri" w:hAnsi="Calibri"/>
          <w:b/>
          <w:color w:val="003366"/>
          <w:sz w:val="26"/>
        </w:rPr>
        <w:t>4.2 Perfil de Egreso</w:t>
      </w:r>
    </w:p>
    <w:p>
      <w:pPr>
        <w:spacing w:before="0" w:after="240" w:line="276" w:lineRule="auto"/>
      </w:pPr>
      <w:r>
        <w:rPr>
          <w:rFonts w:ascii="Calibri" w:hAnsi="Calibri"/>
          <w:color w:val="1A202C"/>
          <w:sz w:val="22"/>
        </w:rPr>
        <w:t>El egresado manufactura piezas mecánicas de precisión mediante corte láser, impresión 3D y fresado CNC, conectando y calibrando sensores y actuadores electromecánicos para poner en marcha y mantener celdas mecatrónicas industriales bajo estándares internacionales, criterios de calidad rigurosos y el valor del trabajo bien hecho.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5. Arquitectura Curricular y Proyectos de Desempeño por Módulo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1"/>
        </w:rPr>
        <w:t>El programa se organiza en 5 módulos progresivos de 18 horas cada uno (4 sesiones de 4.5 horas al mes), donde cada módulo culmina con un proyecto funcional calificado con nota mínima aprobatoria de 75 puntos: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1584"/>
        <w:gridCol w:w="2592"/>
        <w:gridCol w:w="2016"/>
        <w:gridCol w:w="2304"/>
        <w:gridCol w:w="864"/>
      </w:tblGrid>
      <w:tr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Módulo / Mes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Eje Temático Principal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Tecnología Kinal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Proyecto Calificado (≥ 75 pts)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Horas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Módulo 1</w:t>
              <w:br/>
              <w:t>(Febrero)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Diseño CAD 3D, Metrología y Prototipado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Cortadora Láser CO2 y Metrología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Gabinete Industrial con Riel DIN y Nido de Sujeción (Fixture)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18 h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Módulo 2</w:t>
              <w:br/>
              <w:t>(Marzo)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Fabricación Aditiva Avanzada (FDM)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Granja de Impresoras 3D y Filamentos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Garra Robótica Articulada con Insertos Térmicos y Engranes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18 h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Módulo 3</w:t>
              <w:br/>
              <w:t>(Abril)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Mecanizado Sustractivo y Fresado CNC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Router CNC, CAM y Código G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Bancada Mecatrónica Plana con Cajeras de Precisión y Guías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18 h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Módulo 4</w:t>
              <w:br/>
              <w:t>(Mayo)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Sensórica, Actuación y Control de Ejes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Drivers, Motores a Pasos, Neumática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Eje Lineal Motorizado con Parada Segura y Cableado Normado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18 h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Módulo 5</w:t>
              <w:br/>
              <w:t>(Junio)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Integración y Proyecto Capstone Industrial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Toda la Infraestructura Integrada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Mini-Celda Mecatrónica Industrial Automatizada (Capstone)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18 h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6. Esquema de Evaluación, Bitácora Berichtsheft y Acreditación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1"/>
        </w:rPr>
        <w:t>Conforme a la normativa institucional de Kinal, el umbral mínimo de aprobación para cada módulo y para la certificación final es de 75 puntos sobre 100. La evaluación es integral e involucra tanto el producto técnico final como los hábitos formativos: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168"/>
        <w:gridCol w:w="1584"/>
        <w:gridCol w:w="4608"/>
      </w:tblGrid>
      <w:tr>
        <w:tc>
          <w:tcPr>
            <w:tcW w:type="dxa" w:w="312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Rubro de Evaluación</w:t>
            </w:r>
          </w:p>
        </w:tc>
        <w:tc>
          <w:tcPr>
            <w:tcW w:type="dxa" w:w="312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Ponderación</w:t>
            </w:r>
          </w:p>
        </w:tc>
        <w:tc>
          <w:tcPr>
            <w:tcW w:type="dxa" w:w="312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Criterio de Acreditación Técnica</w:t>
            </w:r>
          </w:p>
        </w:tc>
      </w:tr>
      <w:tr>
        <w:tc>
          <w:tcPr>
            <w:tcW w:type="dxa" w:w="3120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Proyecto Práctico Módulo 1 (Láser)</w:t>
            </w:r>
          </w:p>
        </w:tc>
        <w:tc>
          <w:tcPr>
            <w:tcW w:type="dxa" w:w="3120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15%</w:t>
            </w:r>
          </w:p>
        </w:tc>
        <w:tc>
          <w:tcPr>
            <w:tcW w:type="dxa" w:w="3120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Ensamble rígido con tolerancias ≤ ±0.2 mm, juntas autoblocantes y gabinete estético.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Proyecto Práctico Módulo 2 (3D FDM)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15%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Garra funcional resistente al esfuerzo, insertos roscados alineados y movimiento suave.</w:t>
            </w:r>
          </w:p>
        </w:tc>
      </w:tr>
      <w:tr>
        <w:tc>
          <w:tcPr>
            <w:tcW w:type="dxa" w:w="3120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Proyecto Práctico Módulo 3 (CNC)</w:t>
            </w:r>
          </w:p>
        </w:tc>
        <w:tc>
          <w:tcPr>
            <w:tcW w:type="dxa" w:w="3120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15%</w:t>
            </w:r>
          </w:p>
        </w:tc>
        <w:tc>
          <w:tcPr>
            <w:tcW w:type="dxa" w:w="3120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Bancada mecanizada con Código G limpio, planitud, cajeras de rodamientos a tolerancia.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Proyecto Práctico Módulo 4 (Control)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15%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Tablero eléctrico canalizado bajo norma IEC, ferrules, rotulado y ciclo lineal motorizado.</w:t>
            </w:r>
          </w:p>
        </w:tc>
      </w:tr>
      <w:tr>
        <w:tc>
          <w:tcPr>
            <w:tcW w:type="dxa" w:w="3120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Proyecto Final Capstone (Módulo 5)</w:t>
            </w:r>
          </w:p>
        </w:tc>
        <w:tc>
          <w:tcPr>
            <w:tcW w:type="dxa" w:w="3120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25%</w:t>
            </w:r>
          </w:p>
        </w:tc>
        <w:tc>
          <w:tcPr>
            <w:tcW w:type="dxa" w:w="3120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Celda mecatrónica en ciclo continuo autónomo (10 ciclos sin fallas) y parada de emergencia.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Bitácora Berichtsheft y Hábitos Kinal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15%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Documentación semanal de taller, puntualidad, orden 5S, respeto y EPP en cada sesión.</w:t>
            </w:r>
          </w:p>
        </w:tc>
      </w:tr>
    </w:tbl>
    <w:p>
      <w:pPr>
        <w:spacing w:before="160" w:after="0" w:line="276" w:lineRule="auto"/>
      </w:pPr>
      <w:r>
        <w:rPr>
          <w:rFonts w:ascii="Calibri" w:hAnsi="Calibri"/>
          <w:b/>
          <w:color w:val="003366"/>
          <w:sz w:val="20"/>
        </w:rPr>
        <w:t>Nota Aprobatoria Final: ≥ 75 / 100 puntos. Los estudiantes que alcancen dicho puntaje recibirán el Diploma de Certificación Técnica en Mecatrónica Industrial y Fabricación Digital Aplicada emitido por Fundación Kinal.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8"/>
      </w:rPr>
      <w:t>Fundación Kinal | Propuesta Formativa Oficial — Mecatrónica Industrial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