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rFonts w:ascii="Calibri" w:hAnsi="Calibri"/>
          <w:b/>
          <w:color w:val="003366"/>
          <w:sz w:val="22"/>
        </w:rPr>
        <w:t>FUNDACIÓN KINAL — DIRECCIÓN DE VINCULACIÓN EMPRESARIAL</w:t>
      </w:r>
    </w:p>
    <w:p>
      <w:pPr>
        <w:spacing w:before="0" w:after="80" w:line="276" w:lineRule="auto"/>
      </w:pPr>
      <w:r>
        <w:rPr>
          <w:rFonts w:ascii="Calibri" w:hAnsi="Calibri"/>
          <w:b/>
          <w:color w:val="003366"/>
          <w:sz w:val="32"/>
        </w:rPr>
        <w:t>DOSIFICACIÓN DIDÁCTICA Y SECUENCIACIÓN OPERATIVA:</w:t>
        <w:br/>
        <w:t>PROGRAMA EJECUTIVO DE VINCULACIÓN Y LIDERAZGO: GESTIÓN DEL TALENTO TÉCNICO Y MANDOS MEDIOS</w:t>
      </w:r>
    </w:p>
    <w:p>
      <w:pPr>
        <w:spacing w:before="0" w:after="200" w:line="276" w:lineRule="auto"/>
      </w:pPr>
      <w:r>
        <w:rPr>
          <w:rFonts w:ascii="Calibri" w:hAnsi="Calibri"/>
          <w:i/>
          <w:color w:val="4A5568"/>
          <w:sz w:val="20"/>
        </w:rPr>
        <w:t>Cronograma Pedagógico Encuentro por Encuentro | Total: 8 Horas Formativas Ejecutivas</w:t>
        <w:br/>
        <w:t>Organización Modular: Un Módulo por Sesión de 2 Horas (4 Módulos / 4 Sesiones / 4 Actividades Evaluables de 25 Pts = 100 Pts Totales)</w:t>
        <w:br/>
        <w:t>Modalidad Híbrida: 2 Sesiones Presenciales en Campus Kinal (4h) + 2 Sesiones Virtuales en Microsoft Teams (4h)</w:t>
      </w:r>
    </w:p>
    <w:tbl>
      <w:tblPr>
        <w:tblW w:type="auto" w:w="0"/>
        <w:jc w:val="center"/>
        <w:tblLayout w:type="fixed"/>
        <w:tblLook w:firstColumn="1" w:firstRow="1" w:lastColumn="0" w:lastRow="0" w:noHBand="0" w:noVBand="1" w:val="04A0"/>
      </w:tblPr>
      <w:tblGrid>
        <w:gridCol w:w="9360"/>
      </w:tblGrid>
      <w:tr>
        <w:tc>
          <w:tcPr>
            <w:tcW w:type="dxa" w:w="9360"/>
            <w:shd w:fill="F7FAFC"/>
            <w:tcMar>
              <w:top w:w="100" w:type="dxa"/>
              <w:left w:w="140" w:type="dxa"/>
              <w:bottom w:w="100" w:type="dxa"/>
              <w:right w:w="140" w:type="dxa"/>
            </w:tcMar>
            <w:tcBorders>
              <w:top w:val="none"/>
              <w:left w:val="single" w:sz="24" w:space="0" w:color="003366"/>
              <w:bottom w:val="none"/>
              <w:right w:val="none"/>
            </w:tcBorders>
          </w:tcPr>
          <w:p>
            <w:pPr>
              <w:spacing w:before="0" w:after="0" w:line="276" w:lineRule="auto"/>
            </w:pPr>
            <w:r>
              <w:rPr>
                <w:rFonts w:ascii="Calibri" w:hAnsi="Calibri"/>
                <w:b/>
                <w:color w:val="003366"/>
                <w:sz w:val="19"/>
              </w:rPr>
              <w:t xml:space="preserve">Organización Pedagógica Modular e Ideario Kinal: </w:t>
            </w:r>
            <w:r>
              <w:rPr>
                <w:rFonts w:ascii="Calibri" w:hAnsi="Calibri"/>
                <w:i/>
                <w:color w:val="2D3748"/>
                <w:sz w:val="19"/>
              </w:rPr>
              <w:t>«El aprender en el proceso del trabajo es base y a la vez objetivo de la acción formativa». Las 8 horas de formación se distribuyen estrictamente en 4 sesiones de 2 horas (un módulo por sesión): Sesión 1 Presencial en Kinal (Apertura y Factor Humano), Sesiones 2 y 3 Virtuales en Teams (Manejo de Personal, Mandos Medios y Validación Técnica Superior TSU), y Sesión 4 Presencial en Kinal (Sistematización y Clausura con entrega solemne de Diplomas y Reconocimientos). Cada módulo integra una Actividad Formativa Evaluable de 25 puntos orientada a la aplicación directa en la empresa. Umbral aprobatorio institucional: 75 puntos sobre 100.</w:t>
            </w:r>
          </w:p>
        </w:tc>
      </w:tr>
    </w:tbl>
    <w:p>
      <w:pPr>
        <w:spacing w:after="120"/>
      </w:pPr>
    </w:p>
    <w:p>
      <w:pPr>
        <w:keepNext/>
        <w:spacing w:before="280" w:after="120"/>
      </w:pPr>
      <w:r>
        <w:rPr>
          <w:rFonts w:ascii="Calibri" w:hAnsi="Calibri"/>
          <w:b/>
          <w:color w:val="003366"/>
          <w:sz w:val="27"/>
        </w:rPr>
        <w:t>1. Matriz General de Dosificación Modular (Total: 8 Horas — 4 Módulos / 4 Sesiones de 2h)</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1872"/>
        <w:gridCol w:w="2592"/>
        <w:gridCol w:w="2880"/>
        <w:gridCol w:w="2016"/>
      </w:tblGrid>
      <w:tr>
        <w:tc>
          <w:tcPr>
            <w:tcW w:type="dxa" w:w="2340"/>
            <w:shd w:fill="003366"/>
          </w:tcPr>
          <w:p>
            <w:pPr>
              <w:spacing w:before="0" w:after="0" w:line="276" w:lineRule="auto"/>
            </w:pPr>
            <w:r>
              <w:rPr>
                <w:rFonts w:ascii="Calibri" w:hAnsi="Calibri"/>
                <w:b/>
                <w:color w:val="FFFFFF"/>
                <w:sz w:val="17"/>
              </w:rPr>
              <w:t>Módulo / Sesión</w:t>
            </w:r>
          </w:p>
        </w:tc>
        <w:tc>
          <w:tcPr>
            <w:tcW w:type="dxa" w:w="2340"/>
            <w:shd w:fill="003366"/>
          </w:tcPr>
          <w:p>
            <w:pPr>
              <w:spacing w:before="0" w:after="0" w:line="276" w:lineRule="auto"/>
            </w:pPr>
            <w:r>
              <w:rPr>
                <w:rFonts w:ascii="Calibri" w:hAnsi="Calibri"/>
                <w:b/>
                <w:color w:val="FFFFFF"/>
                <w:sz w:val="17"/>
              </w:rPr>
              <w:t>Eje / Tema Principal</w:t>
            </w:r>
          </w:p>
        </w:tc>
        <w:tc>
          <w:tcPr>
            <w:tcW w:type="dxa" w:w="2340"/>
            <w:shd w:fill="003366"/>
          </w:tcPr>
          <w:p>
            <w:pPr>
              <w:spacing w:before="0" w:after="0" w:line="276" w:lineRule="auto"/>
            </w:pPr>
            <w:r>
              <w:rPr>
                <w:rFonts w:ascii="Calibri" w:hAnsi="Calibri"/>
                <w:b/>
                <w:color w:val="FFFFFF"/>
                <w:sz w:val="17"/>
              </w:rPr>
              <w:t>Contenidos y Metodología Clave</w:t>
            </w:r>
          </w:p>
        </w:tc>
        <w:tc>
          <w:tcPr>
            <w:tcW w:type="dxa" w:w="2340"/>
            <w:shd w:fill="003366"/>
          </w:tcPr>
          <w:p>
            <w:pPr>
              <w:spacing w:before="0" w:after="0" w:line="276" w:lineRule="auto"/>
            </w:pPr>
            <w:r>
              <w:rPr>
                <w:rFonts w:ascii="Calibri" w:hAnsi="Calibri"/>
                <w:b/>
                <w:color w:val="FFFFFF"/>
                <w:sz w:val="17"/>
              </w:rPr>
              <w:t>Actividad Formativa Evaluable</w:t>
            </w:r>
          </w:p>
        </w:tc>
      </w:tr>
      <w:tr>
        <w:tc>
          <w:tcPr>
            <w:tcW w:type="dxa" w:w="2340"/>
            <w:shd w:fill="EBF8FF"/>
            <w:tcMar>
              <w:top w:w="45" w:type="dxa"/>
              <w:left w:w="55" w:type="dxa"/>
              <w:bottom w:w="45" w:type="dxa"/>
              <w:right w:w="55" w:type="dxa"/>
            </w:tcMar>
          </w:tcPr>
          <w:p>
            <w:pPr>
              <w:spacing w:before="0" w:after="0" w:line="276" w:lineRule="auto"/>
            </w:pPr>
            <w:r>
              <w:rPr>
                <w:rFonts w:ascii="Calibri" w:hAnsi="Calibri"/>
                <w:b/>
                <w:color w:val="1A202C"/>
                <w:sz w:val="16"/>
              </w:rPr>
              <w:t>Módulo 1</w:t>
              <w:br/>
              <w:t>(Presencial 1 • 2h)</w:t>
            </w:r>
          </w:p>
        </w:tc>
        <w:tc>
          <w:tcPr>
            <w:tcW w:type="dxa" w:w="2340"/>
            <w:shd w:fill="EBF8FF"/>
            <w:tcMar>
              <w:top w:w="45" w:type="dxa"/>
              <w:left w:w="55" w:type="dxa"/>
              <w:bottom w:w="45" w:type="dxa"/>
              <w:right w:w="55" w:type="dxa"/>
            </w:tcMar>
          </w:tcPr>
          <w:p>
            <w:pPr>
              <w:spacing w:before="0" w:after="0" w:line="276" w:lineRule="auto"/>
            </w:pPr>
            <w:r>
              <w:rPr>
                <w:rFonts w:ascii="Calibri" w:hAnsi="Calibri"/>
                <w:b/>
                <w:color w:val="1A202C"/>
                <w:sz w:val="16"/>
              </w:rPr>
              <w:t>Apertura Institucional, Liderazgo y Factor Humano en Cuadrillas</w:t>
            </w:r>
          </w:p>
        </w:tc>
        <w:tc>
          <w:tcPr>
            <w:tcW w:type="dxa" w:w="2340"/>
            <w:shd w:fill="EBF8FF"/>
            <w:tcMar>
              <w:top w:w="45" w:type="dxa"/>
              <w:left w:w="55" w:type="dxa"/>
              <w:bottom w:w="45" w:type="dxa"/>
              <w:right w:w="55" w:type="dxa"/>
            </w:tcMar>
          </w:tcPr>
          <w:p>
            <w:pPr>
              <w:spacing w:before="0" w:after="0" w:line="276" w:lineRule="auto"/>
            </w:pPr>
            <w:r>
              <w:rPr>
                <w:rFonts w:ascii="Calibri" w:hAnsi="Calibri"/>
                <w:b/>
                <w:color w:val="1A202C"/>
                <w:sz w:val="16"/>
              </w:rPr>
              <w:t>Apertura protocolaria, filosofía de Kinal, los 4 pilares del Factor Humano, erradicación del maltrato en planta y seguridad psicológica</w:t>
            </w:r>
          </w:p>
        </w:tc>
        <w:tc>
          <w:tcPr>
            <w:tcW w:type="dxa" w:w="2340"/>
            <w:shd w:fill="EBF8FF"/>
            <w:tcMar>
              <w:top w:w="45" w:type="dxa"/>
              <w:left w:w="55" w:type="dxa"/>
              <w:bottom w:w="45" w:type="dxa"/>
              <w:right w:w="55" w:type="dxa"/>
            </w:tcMar>
          </w:tcPr>
          <w:p>
            <w:pPr>
              <w:spacing w:before="0" w:after="0" w:line="276" w:lineRule="auto"/>
            </w:pPr>
            <w:r>
              <w:rPr>
                <w:rFonts w:ascii="Calibri" w:hAnsi="Calibri"/>
                <w:b/>
                <w:color w:val="1A202C"/>
                <w:sz w:val="16"/>
              </w:rPr>
              <w:t>Actividad 1: Código de Convivencia Operativa y Protocolo de Seguridad Psicológica y Cero Maltrato (25 Pts)</w:t>
            </w:r>
          </w:p>
        </w:tc>
      </w:tr>
      <w:tr>
        <w:tc>
          <w:tcPr>
            <w:tcW w:type="dxa" w:w="2340"/>
            <w:tcMar>
              <w:top w:w="45" w:type="dxa"/>
              <w:left w:w="55" w:type="dxa"/>
              <w:bottom w:w="45" w:type="dxa"/>
              <w:right w:w="55" w:type="dxa"/>
            </w:tcMar>
          </w:tcPr>
          <w:p>
            <w:pPr>
              <w:spacing w:before="0" w:after="0" w:line="276" w:lineRule="auto"/>
            </w:pPr>
            <w:r>
              <w:rPr>
                <w:rFonts w:ascii="Calibri" w:hAnsi="Calibri"/>
                <w:b/>
                <w:color w:val="1A202C"/>
                <w:sz w:val="16"/>
              </w:rPr>
              <w:t>Módulo 2</w:t>
              <w:br/>
              <w:t>(Virtual 1 • 2h)</w:t>
            </w:r>
          </w:p>
        </w:tc>
        <w:tc>
          <w:tcPr>
            <w:tcW w:type="dxa" w:w="2340"/>
            <w:tcMar>
              <w:top w:w="45" w:type="dxa"/>
              <w:left w:w="55" w:type="dxa"/>
              <w:bottom w:w="45" w:type="dxa"/>
              <w:right w:w="55" w:type="dxa"/>
            </w:tcMar>
          </w:tcPr>
          <w:p>
            <w:pPr>
              <w:spacing w:before="0" w:after="0" w:line="276" w:lineRule="auto"/>
            </w:pPr>
            <w:r>
              <w:rPr>
                <w:rFonts w:ascii="Calibri" w:hAnsi="Calibri"/>
                <w:color w:val="1A202C"/>
                <w:sz w:val="16"/>
              </w:rPr>
              <w:t>Manejo de Personal Técnico y Desarrollo de Mandos Medios en Planta</w:t>
            </w:r>
          </w:p>
        </w:tc>
        <w:tc>
          <w:tcPr>
            <w:tcW w:type="dxa" w:w="2340"/>
            <w:tcMar>
              <w:top w:w="45" w:type="dxa"/>
              <w:left w:w="55" w:type="dxa"/>
              <w:bottom w:w="45" w:type="dxa"/>
              <w:right w:w="55" w:type="dxa"/>
            </w:tcMar>
          </w:tcPr>
          <w:p>
            <w:pPr>
              <w:spacing w:before="0" w:after="0" w:line="276" w:lineRule="auto"/>
            </w:pPr>
            <w:r>
              <w:rPr>
                <w:rFonts w:ascii="Calibri" w:hAnsi="Calibri"/>
                <w:color w:val="1A202C"/>
                <w:sz w:val="16"/>
              </w:rPr>
              <w:t>Atracción por competencias, descriptores operativos, onboarding acelerado 30-60-90 días, feedback asertivo y micro-charlas de valores (KPIs OEE/SSO)</w:t>
            </w:r>
          </w:p>
        </w:tc>
        <w:tc>
          <w:tcPr>
            <w:tcW w:type="dxa" w:w="2340"/>
            <w:tcMar>
              <w:top w:w="45" w:type="dxa"/>
              <w:left w:w="55" w:type="dxa"/>
              <w:bottom w:w="45" w:type="dxa"/>
              <w:right w:w="55" w:type="dxa"/>
            </w:tcMar>
          </w:tcPr>
          <w:p>
            <w:pPr>
              <w:spacing w:before="0" w:after="0" w:line="276" w:lineRule="auto"/>
            </w:pPr>
            <w:r>
              <w:rPr>
                <w:rFonts w:ascii="Calibri" w:hAnsi="Calibri"/>
                <w:b/>
                <w:color w:val="1A202C"/>
                <w:sz w:val="16"/>
              </w:rPr>
              <w:t>Actividad 2: Descriptor por Competencias, Plan Onboarding y Catálogo de 3 Micro-Charlas de Factor Humano (25 Pts)</w:t>
            </w:r>
          </w:p>
        </w:tc>
      </w:tr>
      <w:tr>
        <w:tc>
          <w:tcPr>
            <w:tcW w:type="dxa" w:w="2340"/>
            <w:shd w:fill="F7FAFC"/>
            <w:tcMar>
              <w:top w:w="45" w:type="dxa"/>
              <w:left w:w="55" w:type="dxa"/>
              <w:bottom w:w="45" w:type="dxa"/>
              <w:right w:w="55" w:type="dxa"/>
            </w:tcMar>
          </w:tcPr>
          <w:p>
            <w:pPr>
              <w:spacing w:before="0" w:after="0" w:line="276" w:lineRule="auto"/>
            </w:pPr>
            <w:r>
              <w:rPr>
                <w:rFonts w:ascii="Calibri" w:hAnsi="Calibri"/>
                <w:b/>
                <w:color w:val="1A202C"/>
                <w:sz w:val="16"/>
              </w:rPr>
              <w:t>Módulo 3</w:t>
              <w:br/>
              <w:t>(Virtual 2 • 2h)</w:t>
            </w:r>
          </w:p>
        </w:tc>
        <w:tc>
          <w:tcPr>
            <w:tcW w:type="dxa" w:w="2340"/>
            <w:shd w:fill="F7FAFC"/>
            <w:tcMar>
              <w:top w:w="45" w:type="dxa"/>
              <w:left w:w="55" w:type="dxa"/>
              <w:bottom w:w="45" w:type="dxa"/>
              <w:right w:w="55" w:type="dxa"/>
            </w:tcMar>
          </w:tcPr>
          <w:p>
            <w:pPr>
              <w:spacing w:before="0" w:after="0" w:line="276" w:lineRule="auto"/>
            </w:pPr>
            <w:r>
              <w:rPr>
                <w:rFonts w:ascii="Calibri" w:hAnsi="Calibri"/>
                <w:color w:val="1A202C"/>
                <w:sz w:val="16"/>
              </w:rPr>
              <w:t>Fortalecimiento y Validación de Competencias: Nivel Técnico Superior (TSU)</w:t>
            </w:r>
          </w:p>
        </w:tc>
        <w:tc>
          <w:tcPr>
            <w:tcW w:type="dxa" w:w="2340"/>
            <w:shd w:fill="F7FAFC"/>
            <w:tcMar>
              <w:top w:w="45" w:type="dxa"/>
              <w:left w:w="55" w:type="dxa"/>
              <w:bottom w:w="45" w:type="dxa"/>
              <w:right w:w="55" w:type="dxa"/>
            </w:tcMar>
          </w:tcPr>
          <w:p>
            <w:pPr>
              <w:spacing w:before="0" w:after="0" w:line="276" w:lineRule="auto"/>
            </w:pPr>
            <w:r>
              <w:rPr>
                <w:rFonts w:ascii="Calibri" w:hAnsi="Calibri"/>
                <w:color w:val="1A202C"/>
                <w:sz w:val="16"/>
              </w:rPr>
              <w:t>Mapeo de matrices técnicas operativas (saber, hacer, ser), el TSU como mecanismo riguroso de validación y respaldo industrial, y evaluación en puesto</w:t>
            </w:r>
          </w:p>
        </w:tc>
        <w:tc>
          <w:tcPr>
            <w:tcW w:type="dxa" w:w="2340"/>
            <w:shd w:fill="F7FAFC"/>
            <w:tcMar>
              <w:top w:w="45" w:type="dxa"/>
              <w:left w:w="55" w:type="dxa"/>
              <w:bottom w:w="45" w:type="dxa"/>
              <w:right w:w="55" w:type="dxa"/>
            </w:tcMar>
          </w:tcPr>
          <w:p>
            <w:pPr>
              <w:spacing w:before="0" w:after="0" w:line="276" w:lineRule="auto"/>
            </w:pPr>
            <w:r>
              <w:rPr>
                <w:rFonts w:ascii="Calibri" w:hAnsi="Calibri"/>
                <w:b/>
                <w:color w:val="1A202C"/>
                <w:sz w:val="16"/>
              </w:rPr>
              <w:t>Actividad 3: Guía de Evaluación Práctica en Puesto y Matriz de Validación Técnica bajo Estándar TSU (25 Pts)</w:t>
            </w:r>
          </w:p>
        </w:tc>
      </w:tr>
      <w:tr>
        <w:tc>
          <w:tcPr>
            <w:tcW w:type="dxa" w:w="2340"/>
            <w:shd w:fill="EBF8FF"/>
            <w:tcMar>
              <w:top w:w="45" w:type="dxa"/>
              <w:left w:w="55" w:type="dxa"/>
              <w:bottom w:w="45" w:type="dxa"/>
              <w:right w:w="55" w:type="dxa"/>
            </w:tcMar>
          </w:tcPr>
          <w:p>
            <w:pPr>
              <w:spacing w:before="0" w:after="0" w:line="276" w:lineRule="auto"/>
            </w:pPr>
            <w:r>
              <w:rPr>
                <w:rFonts w:ascii="Calibri" w:hAnsi="Calibri"/>
                <w:b/>
                <w:color w:val="1A202C"/>
                <w:sz w:val="16"/>
              </w:rPr>
              <w:t>Módulo 4</w:t>
              <w:br/>
              <w:t>(Presencial 2 • 2h)</w:t>
            </w:r>
          </w:p>
        </w:tc>
        <w:tc>
          <w:tcPr>
            <w:tcW w:type="dxa" w:w="2340"/>
            <w:shd w:fill="EBF8FF"/>
            <w:tcMar>
              <w:top w:w="45" w:type="dxa"/>
              <w:left w:w="55" w:type="dxa"/>
              <w:bottom w:w="45" w:type="dxa"/>
              <w:right w:w="55" w:type="dxa"/>
            </w:tcMar>
          </w:tcPr>
          <w:p>
            <w:pPr>
              <w:spacing w:before="0" w:after="0" w:line="276" w:lineRule="auto"/>
            </w:pPr>
            <w:r>
              <w:rPr>
                <w:rFonts w:ascii="Calibri" w:hAnsi="Calibri"/>
                <w:b/>
                <w:color w:val="1A202C"/>
                <w:sz w:val="16"/>
              </w:rPr>
              <w:t>Sistematización de Demandas Industriales, Acuerdos de Vinculación y Clausura</w:t>
            </w:r>
          </w:p>
        </w:tc>
        <w:tc>
          <w:tcPr>
            <w:tcW w:type="dxa" w:w="2340"/>
            <w:shd w:fill="EBF8FF"/>
            <w:tcMar>
              <w:top w:w="45" w:type="dxa"/>
              <w:left w:w="55" w:type="dxa"/>
              <w:bottom w:w="45" w:type="dxa"/>
              <w:right w:w="55" w:type="dxa"/>
            </w:tcMar>
          </w:tcPr>
          <w:p>
            <w:pPr>
              <w:spacing w:before="0" w:after="0" w:line="276" w:lineRule="auto"/>
            </w:pPr>
            <w:r>
              <w:rPr>
                <w:rFonts w:ascii="Calibri" w:hAnsi="Calibri"/>
                <w:b/>
                <w:color w:val="1A202C"/>
                <w:sz w:val="16"/>
              </w:rPr>
              <w:t>Mesa Redonda Plenaria: Sistematización de demandas de la industria, convenios de cooperación escuela-empresa y entrega solemne de diplomas y distinciones</w:t>
            </w:r>
          </w:p>
        </w:tc>
        <w:tc>
          <w:tcPr>
            <w:tcW w:type="dxa" w:w="2340"/>
            <w:shd w:fill="EBF8FF"/>
            <w:tcMar>
              <w:top w:w="45" w:type="dxa"/>
              <w:left w:w="55" w:type="dxa"/>
              <w:bottom w:w="45" w:type="dxa"/>
              <w:right w:w="55" w:type="dxa"/>
            </w:tcMar>
          </w:tcPr>
          <w:p>
            <w:pPr>
              <w:spacing w:before="0" w:after="0" w:line="276" w:lineRule="auto"/>
            </w:pPr>
            <w:r>
              <w:rPr>
                <w:rFonts w:ascii="Calibri" w:hAnsi="Calibri"/>
                <w:b/>
                <w:color w:val="1A202C"/>
                <w:sz w:val="16"/>
              </w:rPr>
              <w:t>Actividad 4: Sustentación Plenaria de la Ficha Diagnóstica Empresarial y Firma de Acuerdos de Vinculación (25 Pts)</w:t>
            </w:r>
          </w:p>
        </w:tc>
      </w:tr>
    </w:tbl>
    <w:p>
      <w:r>
        <w:br w:type="page"/>
      </w:r>
    </w:p>
    <w:p>
      <w:pPr>
        <w:keepNext/>
        <w:spacing w:before="280" w:after="120"/>
      </w:pPr>
      <w:r>
        <w:rPr>
          <w:rFonts w:ascii="Calibri" w:hAnsi="Calibri"/>
          <w:b/>
          <w:color w:val="003366"/>
          <w:sz w:val="27"/>
        </w:rPr>
        <w:t>2. Microdiseño Didáctico Detallado por Módulos (4 Encuentros de 2 Horas)</w:t>
      </w:r>
    </w:p>
    <w:p>
      <w:pPr>
        <w:spacing w:before="0" w:after="160" w:line="276" w:lineRule="auto"/>
      </w:pPr>
      <w:r>
        <w:rPr>
          <w:rFonts w:ascii="Calibri" w:hAnsi="Calibri"/>
          <w:color w:val="1A202C"/>
          <w:sz w:val="19"/>
        </w:rPr>
        <w:t>A continuación se desglosa la secuencia metodológica detallada para cada uno de los 4 Módulos Formativos (un módulo por sesión de 2 horas / 120 minutos: 2 sesiones presenciales en campus Kinal y 2 sesiones virtuales en Microsoft Teams):</w:t>
      </w:r>
    </w:p>
    <w:p>
      <w:pPr>
        <w:keepNext/>
        <w:spacing w:before="200" w:after="80"/>
      </w:pPr>
      <w:r>
        <w:rPr>
          <w:rFonts w:ascii="Calibri" w:hAnsi="Calibri"/>
          <w:b/>
          <w:color w:val="003366"/>
          <w:sz w:val="22"/>
        </w:rPr>
        <w:t>Módulo 1: Apertura Institucional, Liderazgo y Factor Humano en Cuadrillas de Trabajo</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2592"/>
        <w:gridCol w:w="6768"/>
      </w:tblGrid>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Formato y Duración:</w:t>
            </w:r>
          </w:p>
        </w:tc>
        <w:tc>
          <w:tcPr>
            <w:tcW w:type="dxa" w:w="4680"/>
            <w:tcMar>
              <w:top w:w="50" w:type="dxa"/>
              <w:left w:w="70" w:type="dxa"/>
              <w:bottom w:w="50" w:type="dxa"/>
              <w:right w:w="70" w:type="dxa"/>
            </w:tcMar>
          </w:tcPr>
          <w:p>
            <w:pPr>
              <w:spacing w:before="0" w:after="0" w:line="276" w:lineRule="auto"/>
            </w:pPr>
            <w:r>
              <w:rPr>
                <w:rFonts w:ascii="Calibri" w:hAnsi="Calibri"/>
                <w:b/>
                <w:color w:val="1A202C"/>
                <w:sz w:val="17"/>
              </w:rPr>
              <w:t>Sesión Presencial 1 (Campus Kinal)  |  2 Horas (120 min)</w:t>
            </w:r>
          </w:p>
        </w:tc>
      </w:tr>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Objetivo Específico:</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Conoce la visión formativa de Kinal e implementa la cultura del Factor Humano en cuadrillas operativas: respeto a la dignidad de la persona, erradicación del maltrato y seguridad psicológica.</w:t>
            </w:r>
          </w:p>
        </w:tc>
      </w:tr>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Secuencia Didáctica — Apertura:</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Apertura (20 min): Bienvenida protocolaria por directores de Fundación Kinal en Auditorio Ejecutivo. Encuadre de la iniciativa de vinculación empresarial y dinámica de presentación de los líderes empresariales participantes.</w:t>
            </w:r>
          </w:p>
        </w:tc>
      </w:tr>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Secuencia Didáctica — Desarrollo:</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Desarrollo (85 min con pausa de 10 min): La filosofía del Factor Humano de Fundación Kinal y sus 4 pilares: Respeto a la Dignidad, El Trabajo Bien Hecho (orden 5S, custodia de maquinaria y calidad moral), Espíritu de Servicio y Libertad Responsable. Análisis del caso: 'El costo oculto del maltrato verbal y la supervisión autoritaria en planta'. Cómo generar seguridad psicológica para que los operarios reporten averías e incidentes inmediatamente sin temor a represalias.</w:t>
            </w:r>
          </w:p>
        </w:tc>
      </w:tr>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Secuencia Didáctica — Cierre:</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Cierre (15 min): Síntesis ejecutiva de buenas prácticas de liderazgo humanista, pautas para el Código de Convivencia y encuadre para la plataforma Microsoft Teams y Kinal.academy.</w:t>
            </w:r>
          </w:p>
        </w:tc>
      </w:tr>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Recursos y Plataformas:</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Auditorio Ejecutivo de Fundación Kinal, material impreso de Factor Humano, estación de café.</w:t>
            </w:r>
          </w:p>
        </w:tc>
      </w:tr>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Actividad Formativa Evaluable:</w:t>
            </w:r>
          </w:p>
        </w:tc>
        <w:tc>
          <w:tcPr>
            <w:tcW w:type="dxa" w:w="4680"/>
            <w:tcMar>
              <w:top w:w="50" w:type="dxa"/>
              <w:left w:w="70" w:type="dxa"/>
              <w:bottom w:w="50" w:type="dxa"/>
              <w:right w:w="70" w:type="dxa"/>
            </w:tcMar>
          </w:tcPr>
          <w:p>
            <w:pPr>
              <w:spacing w:before="0" w:after="0" w:line="276" w:lineRule="auto"/>
            </w:pPr>
            <w:r>
              <w:rPr>
                <w:rFonts w:ascii="Calibri" w:hAnsi="Calibri"/>
                <w:b/>
                <w:color w:val="1A202C"/>
                <w:sz w:val="17"/>
              </w:rPr>
              <w:t>Actividad Formativa Evaluable 1: Borrador de Código de Convivencia Operativa y Protocolo de Seguridad Psicológica y Cero Maltrato en Planta. Ponderación: 25 Puntos.</w:t>
            </w:r>
          </w:p>
        </w:tc>
      </w:tr>
    </w:tbl>
    <w:p>
      <w:pPr>
        <w:spacing w:before="40" w:after="80" w:line="276" w:lineRule="auto"/>
      </w:pPr>
    </w:p>
    <w:p>
      <w:pPr>
        <w:keepNext/>
        <w:spacing w:before="200" w:after="80"/>
      </w:pPr>
      <w:r>
        <w:rPr>
          <w:rFonts w:ascii="Calibri" w:hAnsi="Calibri"/>
          <w:b/>
          <w:color w:val="003366"/>
          <w:sz w:val="22"/>
        </w:rPr>
        <w:t>Módulo 2: Manejo de Personal Técnico y Desarrollo de Mandos Medios en Planta</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2592"/>
        <w:gridCol w:w="6768"/>
      </w:tblGrid>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Formato y Duración:</w:t>
            </w:r>
          </w:p>
        </w:tc>
        <w:tc>
          <w:tcPr>
            <w:tcW w:type="dxa" w:w="4680"/>
            <w:tcMar>
              <w:top w:w="50" w:type="dxa"/>
              <w:left w:w="70" w:type="dxa"/>
              <w:bottom w:w="50" w:type="dxa"/>
              <w:right w:w="70" w:type="dxa"/>
            </w:tcMar>
          </w:tcPr>
          <w:p>
            <w:pPr>
              <w:spacing w:before="0" w:after="0" w:line="276" w:lineRule="auto"/>
            </w:pPr>
            <w:r>
              <w:rPr>
                <w:rFonts w:ascii="Calibri" w:hAnsi="Calibri"/>
                <w:b/>
                <w:color w:val="1A202C"/>
                <w:sz w:val="17"/>
              </w:rPr>
              <w:t>Sesión Virtual 1 (Microsoft Teams)  |  2 Horas (120 min)</w:t>
            </w:r>
          </w:p>
        </w:tc>
      </w:tr>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Objetivo Específico:</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Aplica metodologías contemporáneas para el reclutamiento por competencias demostrables, estructura planes de onboarding técnico a 30-60-90 días y equipa a mandos medios con feedback formativo y micro-charlas de valores.</w:t>
            </w:r>
          </w:p>
        </w:tc>
      </w:tr>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Secuencia Didáctica — Apertura:</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Apertura (15 min): Bienvenida en Teams y pregunta detonante: '¿Cuánto le cuesta realmente a su empresa la rotación temprana de un operario y qué impacto tiene el mando medio en su permanencia?'.</w:t>
            </w:r>
          </w:p>
        </w:tc>
      </w:tr>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Secuencia Didáctica — Desarrollo:</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Desarrollo (90 min con pausa de 10 min): Descriptores de puesto técnicos basados en competencias demostrables (saber, hacer y ser). Estructuración del plan de inducción técnica acelerada en 30-60-90 días para acortar la curva de aprendizaje y reducir mermas. El supervisor de primera línea como puente clave: retroalimentación asertiva sin humillar y diseño de 'Las Charlas de 10 Minutos de Factor Humano' antes del turno vinculadas a KPIs (OEE/SSO).</w:t>
            </w:r>
          </w:p>
        </w:tc>
      </w:tr>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Secuencia Didáctica — Cierre:</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Cierre (15 min): Plenaria de socialización de matrices, conclusiones ejecutivas y pautas para subir el entregable a Kinal.academy.</w:t>
            </w:r>
          </w:p>
        </w:tc>
      </w:tr>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Recursos y Plataformas:</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Microsoft Teams, salas grupales de Teams, plantillas de descriptores y micro-charlas, Kinal.academy.</w:t>
            </w:r>
          </w:p>
        </w:tc>
      </w:tr>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Actividad Formativa Evaluable:</w:t>
            </w:r>
          </w:p>
        </w:tc>
        <w:tc>
          <w:tcPr>
            <w:tcW w:type="dxa" w:w="4680"/>
            <w:tcMar>
              <w:top w:w="50" w:type="dxa"/>
              <w:left w:w="70" w:type="dxa"/>
              <w:bottom w:w="50" w:type="dxa"/>
              <w:right w:w="70" w:type="dxa"/>
            </w:tcMar>
          </w:tcPr>
          <w:p>
            <w:pPr>
              <w:spacing w:before="0" w:after="0" w:line="276" w:lineRule="auto"/>
            </w:pPr>
            <w:r>
              <w:rPr>
                <w:rFonts w:ascii="Calibri" w:hAnsi="Calibri"/>
                <w:b/>
                <w:color w:val="1A202C"/>
                <w:sz w:val="17"/>
              </w:rPr>
              <w:t>Actividad Formativa Evaluable 2: Descriptor de Puesto Técnico por Competencias Demostrables, Plan de Onboarding 30-60-90 Días y Catálogo de 3 Micro-Charlas de Factor Humano. Ponderación: 25 Puntos.</w:t>
            </w:r>
          </w:p>
        </w:tc>
      </w:tr>
    </w:tbl>
    <w:p>
      <w:pPr>
        <w:spacing w:before="40" w:after="80" w:line="276" w:lineRule="auto"/>
      </w:pPr>
    </w:p>
    <w:p>
      <w:pPr>
        <w:keepNext/>
        <w:spacing w:before="200" w:after="80"/>
      </w:pPr>
      <w:r>
        <w:rPr>
          <w:rFonts w:ascii="Calibri" w:hAnsi="Calibri"/>
          <w:b/>
          <w:color w:val="003366"/>
          <w:sz w:val="22"/>
        </w:rPr>
        <w:t>Módulo 3: Fortalecimiento y Validación de Competencias: Nivel Técnico Superior (TSU)</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2592"/>
        <w:gridCol w:w="6768"/>
      </w:tblGrid>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Formato y Duración:</w:t>
            </w:r>
          </w:p>
        </w:tc>
        <w:tc>
          <w:tcPr>
            <w:tcW w:type="dxa" w:w="4680"/>
            <w:tcMar>
              <w:top w:w="50" w:type="dxa"/>
              <w:left w:w="70" w:type="dxa"/>
              <w:bottom w:w="50" w:type="dxa"/>
              <w:right w:w="70" w:type="dxa"/>
            </w:tcMar>
          </w:tcPr>
          <w:p>
            <w:pPr>
              <w:spacing w:before="0" w:after="0" w:line="276" w:lineRule="auto"/>
            </w:pPr>
            <w:r>
              <w:rPr>
                <w:rFonts w:ascii="Calibri" w:hAnsi="Calibri"/>
                <w:b/>
                <w:color w:val="1A202C"/>
                <w:sz w:val="17"/>
              </w:rPr>
              <w:t>Sesión Virtual 2 (Microsoft Teams)  |  2 Horas (120 min)</w:t>
            </w:r>
          </w:p>
        </w:tc>
      </w:tr>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Objetivo Específico:</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Diseña instrumentos objetivos para mapear y evaluar competencias técnicas operativas y articula el nivel Técnico Superior (TSU) como mecanismo de validación rigurosa y respaldo objetivo para la industria.</w:t>
            </w:r>
          </w:p>
        </w:tc>
      </w:tr>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Secuencia Didáctica — Apertura:</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Apertura (15 min): Sondeo interactivo: '¿Cómo evalúa hoy en día si un técnico domina el diagnóstico analítico de un PLC o sistema electromecánico antes de asignarle la línea crítica?'.</w:t>
            </w:r>
          </w:p>
        </w:tc>
      </w:tr>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Secuencia Didáctica — Desarrollo:</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Desarrollo (90 min con pausa de 10 min): Mapeo de competencias operativas bajo estándares internacionales (DQR). El Técnico Superior Universitario (TSU) como mecanismo riguroso de validación de competencias técnicas: acreditación de capacidades superiores en diagnóstico, interpretación de diagramas y cálculo aplicado. Por qué la industria requiere el respaldo del nivel superior técnico para cerrar la brecha entre ingeniería y piso de planta. Diseño de pruebas prácticas en banco de trabajo y el rol del mentor técnico (*Ausbilder*) para la transferencia en el puesto.</w:t>
            </w:r>
          </w:p>
        </w:tc>
      </w:tr>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Secuencia Didáctica — Cierre:</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Cierre (15 min): Presentación de la matriz de validación técnica de planta y asignación del entregable en Kinal.academy.</w:t>
            </w:r>
          </w:p>
        </w:tc>
      </w:tr>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Recursos y Plataformas:</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Microsoft Teams, marco curricular TSU Kinal, matriz de competencias técnicas en Excel, Kinal.academy.</w:t>
            </w:r>
          </w:p>
        </w:tc>
      </w:tr>
      <w:tr>
        <w:tc>
          <w:tcPr>
            <w:tcW w:type="dxa" w:w="4680"/>
            <w:shd w:fill="F7FAFC"/>
            <w:tcMar>
              <w:top w:w="50" w:type="dxa"/>
              <w:left w:w="70" w:type="dxa"/>
              <w:bottom w:w="50" w:type="dxa"/>
              <w:right w:w="70" w:type="dxa"/>
            </w:tcMar>
          </w:tcPr>
          <w:p>
            <w:pPr>
              <w:spacing w:before="0" w:after="0" w:line="276" w:lineRule="auto"/>
            </w:pPr>
            <w:r>
              <w:rPr>
                <w:rFonts w:ascii="Calibri" w:hAnsi="Calibri"/>
                <w:b/>
                <w:color w:val="003366"/>
                <w:sz w:val="17"/>
              </w:rPr>
              <w:t>Actividad Formativa Evaluable:</w:t>
            </w:r>
          </w:p>
        </w:tc>
        <w:tc>
          <w:tcPr>
            <w:tcW w:type="dxa" w:w="4680"/>
            <w:tcMar>
              <w:top w:w="50" w:type="dxa"/>
              <w:left w:w="70" w:type="dxa"/>
              <w:bottom w:w="50" w:type="dxa"/>
              <w:right w:w="70" w:type="dxa"/>
            </w:tcMar>
          </w:tcPr>
          <w:p>
            <w:pPr>
              <w:spacing w:before="0" w:after="0" w:line="276" w:lineRule="auto"/>
            </w:pPr>
            <w:r>
              <w:rPr>
                <w:rFonts w:ascii="Calibri" w:hAnsi="Calibri"/>
                <w:b/>
                <w:color w:val="1A202C"/>
                <w:sz w:val="17"/>
              </w:rPr>
              <w:t>Actividad Formativa Evaluable 3: Guía de Evaluación Práctica en Puesto y Matriz de Validación Técnica de Planta bajo el Estándar de Competencias del Técnico Superior (TSU). Ponderación: 25 Puntos.</w:t>
            </w:r>
          </w:p>
        </w:tc>
      </w:tr>
    </w:tbl>
    <w:p>
      <w:pPr>
        <w:spacing w:before="40" w:after="80" w:line="276" w:lineRule="auto"/>
      </w:pPr>
    </w:p>
    <w:p>
      <w:pPr>
        <w:keepNext/>
        <w:spacing w:before="200" w:after="80"/>
      </w:pPr>
      <w:r>
        <w:rPr>
          <w:rFonts w:ascii="Calibri" w:hAnsi="Calibri"/>
          <w:b/>
          <w:color w:val="003366"/>
          <w:sz w:val="22"/>
        </w:rPr>
        <w:t>Módulo 4: Sistematización de Demandas Industriales, Acuerdos de Vinculación y Clausura</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2592"/>
        <w:gridCol w:w="6768"/>
      </w:tblGrid>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Formato y Duración:</w:t>
            </w:r>
          </w:p>
        </w:tc>
        <w:tc>
          <w:tcPr>
            <w:tcW w:type="dxa" w:w="4680"/>
            <w:tcMar>
              <w:top w:w="50" w:type="dxa"/>
              <w:left w:w="70" w:type="dxa"/>
              <w:bottom w:w="50" w:type="dxa"/>
              <w:right w:w="70" w:type="dxa"/>
            </w:tcMar>
          </w:tcPr>
          <w:p>
            <w:pPr>
              <w:spacing w:before="0" w:after="0" w:line="276" w:lineRule="auto"/>
            </w:pPr>
            <w:r>
              <w:rPr>
                <w:rFonts w:ascii="Calibri" w:hAnsi="Calibri"/>
                <w:b/>
                <w:color w:val="1A202C"/>
                <w:sz w:val="17"/>
              </w:rPr>
              <w:t>Sesión Presencial 2 (Campus Kinal)  |  2 Horas (120 min)</w:t>
            </w:r>
          </w:p>
        </w:tc>
      </w:tr>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Objetivo Específico:</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Participa activamente en la sustentación de la ficha diagnóstica empresarial, la retroalimentación de planes curriculares de Kinal y recibe el diploma de participación individual y reconocimiento corporativo.</w:t>
            </w:r>
          </w:p>
        </w:tc>
      </w:tr>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Secuencia Didáctica — Apertura:</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Apertura (15 min): Bienvenida protocolaria en Auditorio Ejecutivo por el Consejo Directivo y Directores Académicos de Fundación Kinal.</w:t>
            </w:r>
          </w:p>
        </w:tc>
      </w:tr>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Secuencia Didáctica — Desarrollo:</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Desarrollo (85 min con pausa de 10 min): Mesa Redonda Plenaria: 'Construyendo la Pertinencia Técnica de Guatemala'. Sustentación ejecutiva de las fichas diagnósticas por parte de los representantes empresariales. Diálogo abierto con las autoridades de Kinal para la retroalimentación de planes de estudio del nivel Técnico Superior y carreras técnicas. Formalización de acuerdos de cooperación institucional (bolsa de empleo prioritaria, semilleros y pasantías).</w:t>
            </w:r>
          </w:p>
        </w:tc>
      </w:tr>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Secuencia Didáctica — Cierre:</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Cierre (20 min): Acto solemne de clausura: Entrega de Diplomas de Participación Individual a los representantes empresariales y entrega de Reconocimientos Empresariales Especiales a las empresas aliadas. Brindis de honor y networking directivo.</w:t>
            </w:r>
          </w:p>
        </w:tc>
      </w:tr>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Recursos y Plataformas:</w:t>
            </w:r>
          </w:p>
        </w:tc>
        <w:tc>
          <w:tcPr>
            <w:tcW w:type="dxa" w:w="4680"/>
            <w:tcMar>
              <w:top w:w="50" w:type="dxa"/>
              <w:left w:w="70" w:type="dxa"/>
              <w:bottom w:w="50" w:type="dxa"/>
              <w:right w:w="70" w:type="dxa"/>
            </w:tcMar>
          </w:tcPr>
          <w:p>
            <w:pPr>
              <w:spacing w:before="0" w:after="0" w:line="276" w:lineRule="auto"/>
            </w:pPr>
            <w:r>
              <w:rPr>
                <w:rFonts w:ascii="Calibri" w:hAnsi="Calibri"/>
                <w:color w:val="1A202C"/>
                <w:sz w:val="17"/>
              </w:rPr>
              <w:t>Auditorio Ejecutivo de Kinal, actas de evaluación, diplomas oficiales encuadernados, placas de reconocimiento empresarial, brindis de honor.</w:t>
            </w:r>
          </w:p>
        </w:tc>
      </w:tr>
      <w:tr>
        <w:tc>
          <w:tcPr>
            <w:tcW w:type="dxa" w:w="4680"/>
            <w:shd w:fill="EBF8FF"/>
            <w:tcMar>
              <w:top w:w="50" w:type="dxa"/>
              <w:left w:w="70" w:type="dxa"/>
              <w:bottom w:w="50" w:type="dxa"/>
              <w:right w:w="70" w:type="dxa"/>
            </w:tcMar>
          </w:tcPr>
          <w:p>
            <w:pPr>
              <w:spacing w:before="0" w:after="0" w:line="276" w:lineRule="auto"/>
            </w:pPr>
            <w:r>
              <w:rPr>
                <w:rFonts w:ascii="Calibri" w:hAnsi="Calibri"/>
                <w:b/>
                <w:color w:val="003366"/>
                <w:sz w:val="17"/>
              </w:rPr>
              <w:t>Actividad Formativa Evaluable:</w:t>
            </w:r>
          </w:p>
        </w:tc>
        <w:tc>
          <w:tcPr>
            <w:tcW w:type="dxa" w:w="4680"/>
            <w:tcMar>
              <w:top w:w="50" w:type="dxa"/>
              <w:left w:w="70" w:type="dxa"/>
              <w:bottom w:w="50" w:type="dxa"/>
              <w:right w:w="70" w:type="dxa"/>
            </w:tcMar>
          </w:tcPr>
          <w:p>
            <w:pPr>
              <w:spacing w:before="0" w:after="0" w:line="276" w:lineRule="auto"/>
            </w:pPr>
            <w:r>
              <w:rPr>
                <w:rFonts w:ascii="Calibri" w:hAnsi="Calibri"/>
                <w:b/>
                <w:color w:val="1A202C"/>
                <w:sz w:val="17"/>
              </w:rPr>
              <w:t>Actividad Formativa Evaluable 4: Sustentación Plenaria de la Ficha Diagnóstica Empresarial y Firma de Acuerdos de Vinculación Institucional. Ponderación: 25 Puntos.</w:t>
            </w:r>
          </w:p>
        </w:tc>
      </w:tr>
    </w:tbl>
    <w:p>
      <w:pPr>
        <w:spacing w:before="40" w:after="80" w:line="276" w:lineRule="auto"/>
      </w:pPr>
    </w:p>
    <w:p>
      <w:r>
        <w:br w:type="page"/>
      </w:r>
    </w:p>
    <w:p>
      <w:pPr>
        <w:keepNext/>
        <w:spacing w:before="280" w:after="120"/>
      </w:pPr>
      <w:r>
        <w:rPr>
          <w:rFonts w:ascii="Calibri" w:hAnsi="Calibri"/>
          <w:b/>
          <w:color w:val="003366"/>
          <w:sz w:val="27"/>
        </w:rPr>
        <w:t>3. Instrumentos de Acreditación, Rúbrica Modular y Matriz Diagnóstica</w:t>
      </w:r>
    </w:p>
    <w:tbl>
      <w:tblPr>
        <w:tblW w:type="auto" w:w="0"/>
        <w:jc w:val="center"/>
        <w:tblLayout w:type="fixed"/>
        <w:tblLook w:firstColumn="1" w:firstRow="1" w:lastColumn="0" w:lastRow="0" w:noHBand="0" w:noVBand="1" w:val="04A0"/>
      </w:tblPr>
      <w:tblGrid>
        <w:gridCol w:w="9360"/>
      </w:tblGrid>
      <w:tr>
        <w:tc>
          <w:tcPr>
            <w:tcW w:type="dxa" w:w="9360"/>
            <w:shd w:fill="F7FAFC"/>
            <w:tcMar>
              <w:top w:w="100" w:type="dxa"/>
              <w:left w:w="140" w:type="dxa"/>
              <w:bottom w:w="100" w:type="dxa"/>
              <w:right w:w="140" w:type="dxa"/>
            </w:tcMar>
            <w:tcBorders>
              <w:top w:val="none"/>
              <w:left w:val="single" w:sz="24" w:space="0" w:color="003366"/>
              <w:bottom w:val="none"/>
              <w:right w:val="none"/>
            </w:tcBorders>
          </w:tcPr>
          <w:p>
            <w:pPr>
              <w:spacing w:before="0" w:after="0" w:line="276" w:lineRule="auto"/>
            </w:pPr>
            <w:r>
              <w:rPr>
                <w:rFonts w:ascii="Calibri" w:hAnsi="Calibri"/>
                <w:b/>
                <w:color w:val="003366"/>
                <w:sz w:val="19"/>
              </w:rPr>
              <w:t xml:space="preserve">Requisitos de Acreditación Institucional: </w:t>
            </w:r>
            <w:r>
              <w:rPr>
                <w:rFonts w:ascii="Calibri" w:hAnsi="Calibri"/>
                <w:i/>
                <w:color w:val="2D3748"/>
                <w:sz w:val="19"/>
              </w:rPr>
              <w:t>Para hacerse acreedor al Diploma de Participación Individual y al Reconocimiento Empresarial Institucional de Fundación Kinal, el representante debe cumplir con un mínimo del 80% de asistencia sincrónica y alcanzar una calificación mínima de 75 puntos sobre 100 en el consolidado de las 4 actividades formativas evaluables del programa (25 puntos cada una).</w:t>
            </w:r>
          </w:p>
        </w:tc>
      </w:tr>
    </w:tbl>
    <w:p>
      <w:pPr>
        <w:spacing w:after="120"/>
      </w:pPr>
    </w:p>
    <w:p>
      <w:pPr>
        <w:keepNext/>
        <w:spacing w:before="200" w:after="80"/>
      </w:pPr>
      <w:r>
        <w:rPr>
          <w:rFonts w:ascii="Calibri" w:hAnsi="Calibri"/>
          <w:b/>
          <w:color w:val="003366"/>
          <w:sz w:val="22"/>
        </w:rPr>
        <w:t>3.1 Rúbrica Analítica de las 4 Actividades Formativas Evaluables (100 Puntos Totales)</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2592"/>
        <w:gridCol w:w="1296"/>
        <w:gridCol w:w="3312"/>
        <w:gridCol w:w="2160"/>
      </w:tblGrid>
      <w:tr>
        <w:tc>
          <w:tcPr>
            <w:tcW w:type="dxa" w:w="2340"/>
            <w:shd w:fill="003366"/>
          </w:tcPr>
          <w:p>
            <w:pPr>
              <w:spacing w:before="0" w:after="0" w:line="276" w:lineRule="auto"/>
            </w:pPr>
            <w:r>
              <w:rPr>
                <w:rFonts w:ascii="Calibri" w:hAnsi="Calibri"/>
                <w:b/>
                <w:color w:val="FFFFFF"/>
                <w:sz w:val="17"/>
              </w:rPr>
              <w:t>Actividad Formativa / Módulo</w:t>
            </w:r>
          </w:p>
        </w:tc>
        <w:tc>
          <w:tcPr>
            <w:tcW w:type="dxa" w:w="2340"/>
            <w:shd w:fill="003366"/>
          </w:tcPr>
          <w:p>
            <w:pPr>
              <w:spacing w:before="0" w:after="0" w:line="276" w:lineRule="auto"/>
            </w:pPr>
            <w:r>
              <w:rPr>
                <w:rFonts w:ascii="Calibri" w:hAnsi="Calibri"/>
                <w:b/>
                <w:color w:val="FFFFFF"/>
                <w:sz w:val="17"/>
              </w:rPr>
              <w:t>Puntos</w:t>
            </w:r>
          </w:p>
        </w:tc>
        <w:tc>
          <w:tcPr>
            <w:tcW w:type="dxa" w:w="2340"/>
            <w:shd w:fill="003366"/>
          </w:tcPr>
          <w:p>
            <w:pPr>
              <w:spacing w:before="0" w:after="0" w:line="276" w:lineRule="auto"/>
            </w:pPr>
            <w:r>
              <w:rPr>
                <w:rFonts w:ascii="Calibri" w:hAnsi="Calibri"/>
                <w:b/>
                <w:color w:val="FFFFFF"/>
                <w:sz w:val="17"/>
              </w:rPr>
              <w:t>Desempeño Excelente (Estándar Kinal)</w:t>
            </w:r>
          </w:p>
        </w:tc>
        <w:tc>
          <w:tcPr>
            <w:tcW w:type="dxa" w:w="2340"/>
            <w:shd w:fill="003366"/>
          </w:tcPr>
          <w:p>
            <w:pPr>
              <w:spacing w:before="0" w:after="0" w:line="276" w:lineRule="auto"/>
            </w:pPr>
            <w:r>
              <w:rPr>
                <w:rFonts w:ascii="Calibri" w:hAnsi="Calibri"/>
                <w:b/>
                <w:color w:val="FFFFFF"/>
                <w:sz w:val="17"/>
              </w:rPr>
              <w:t>Desempeño Insuficiente (&lt; 75%)</w:t>
            </w:r>
          </w:p>
        </w:tc>
      </w:tr>
      <w:tr>
        <w:tc>
          <w:tcPr>
            <w:tcW w:type="dxa" w:w="2340"/>
            <w:shd w:fill="F7FAFC"/>
            <w:tcMar>
              <w:top w:w="50" w:type="dxa"/>
              <w:left w:w="60" w:type="dxa"/>
              <w:bottom w:w="50" w:type="dxa"/>
              <w:right w:w="60" w:type="dxa"/>
            </w:tcMar>
          </w:tcPr>
          <w:p>
            <w:pPr>
              <w:spacing w:before="0" w:after="0" w:line="276" w:lineRule="auto"/>
            </w:pPr>
            <w:r>
              <w:rPr>
                <w:rFonts w:ascii="Calibri" w:hAnsi="Calibri"/>
                <w:b/>
                <w:color w:val="1A202C"/>
                <w:sz w:val="16"/>
              </w:rPr>
              <w:t>Módulo 1: Código de Convivencia y Protocolo Cero Maltrato</w:t>
            </w:r>
          </w:p>
        </w:tc>
        <w:tc>
          <w:tcPr>
            <w:tcW w:type="dxa" w:w="2340"/>
            <w:shd w:fill="F7FAFC"/>
            <w:tcMar>
              <w:top w:w="50" w:type="dxa"/>
              <w:left w:w="60" w:type="dxa"/>
              <w:bottom w:w="50" w:type="dxa"/>
              <w:right w:w="60" w:type="dxa"/>
            </w:tcMar>
          </w:tcPr>
          <w:p>
            <w:pPr>
              <w:spacing w:before="0" w:after="0" w:line="276" w:lineRule="auto"/>
            </w:pPr>
            <w:r>
              <w:rPr>
                <w:rFonts w:ascii="Calibri" w:hAnsi="Calibri"/>
                <w:b/>
                <w:color w:val="1A202C"/>
                <w:sz w:val="16"/>
              </w:rPr>
              <w:t>25 Puntos</w:t>
            </w:r>
          </w:p>
        </w:tc>
        <w:tc>
          <w:tcPr>
            <w:tcW w:type="dxa" w:w="2340"/>
            <w:shd w:fill="F7FAFC"/>
            <w:tcMar>
              <w:top w:w="50" w:type="dxa"/>
              <w:left w:w="60" w:type="dxa"/>
              <w:bottom w:w="50" w:type="dxa"/>
              <w:right w:w="60" w:type="dxa"/>
            </w:tcMar>
          </w:tcPr>
          <w:p>
            <w:pPr>
              <w:spacing w:before="0" w:after="0" w:line="276" w:lineRule="auto"/>
            </w:pPr>
            <w:r>
              <w:rPr>
                <w:rFonts w:ascii="Calibri" w:hAnsi="Calibri"/>
                <w:color w:val="1A202C"/>
                <w:sz w:val="16"/>
              </w:rPr>
              <w:t>Establece normas operativas de respeto, canales de reporte de averías sin temor y erradicación del maltrato en planta sustentadas en el Factor Humano.</w:t>
            </w:r>
          </w:p>
        </w:tc>
        <w:tc>
          <w:tcPr>
            <w:tcW w:type="dxa" w:w="2340"/>
            <w:shd w:fill="F7FAFC"/>
            <w:tcMar>
              <w:top w:w="50" w:type="dxa"/>
              <w:left w:w="60" w:type="dxa"/>
              <w:bottom w:w="50" w:type="dxa"/>
              <w:right w:w="60" w:type="dxa"/>
            </w:tcMar>
          </w:tcPr>
          <w:p>
            <w:pPr>
              <w:spacing w:before="0" w:after="0" w:line="276" w:lineRule="auto"/>
            </w:pPr>
            <w:r>
              <w:rPr>
                <w:rFonts w:ascii="Calibri" w:hAnsi="Calibri"/>
                <w:color w:val="1A202C"/>
                <w:sz w:val="16"/>
              </w:rPr>
              <w:t>Directrices abstractas sin aplicabilidad directa a las dinámicas y tensiones del taller operativo (&lt; 18.7 pts).</w:t>
            </w:r>
          </w:p>
        </w:tc>
      </w:tr>
      <w:tr>
        <w:tc>
          <w:tcPr>
            <w:tcW w:type="dxa" w:w="2340"/>
            <w:tcMar>
              <w:top w:w="50" w:type="dxa"/>
              <w:left w:w="60" w:type="dxa"/>
              <w:bottom w:w="50" w:type="dxa"/>
              <w:right w:w="60" w:type="dxa"/>
            </w:tcMar>
          </w:tcPr>
          <w:p>
            <w:pPr>
              <w:spacing w:before="0" w:after="0" w:line="276" w:lineRule="auto"/>
            </w:pPr>
            <w:r>
              <w:rPr>
                <w:rFonts w:ascii="Calibri" w:hAnsi="Calibri"/>
                <w:b/>
                <w:color w:val="1A202C"/>
                <w:sz w:val="16"/>
              </w:rPr>
              <w:t>Módulo 2: Descriptor por Competencias, Onboarding y 3 Micro-Charlas</w:t>
            </w:r>
          </w:p>
        </w:tc>
        <w:tc>
          <w:tcPr>
            <w:tcW w:type="dxa" w:w="2340"/>
            <w:tcMar>
              <w:top w:w="50" w:type="dxa"/>
              <w:left w:w="60" w:type="dxa"/>
              <w:bottom w:w="50" w:type="dxa"/>
              <w:right w:w="60" w:type="dxa"/>
            </w:tcMar>
          </w:tcPr>
          <w:p>
            <w:pPr>
              <w:spacing w:before="0" w:after="0" w:line="276" w:lineRule="auto"/>
            </w:pPr>
            <w:r>
              <w:rPr>
                <w:rFonts w:ascii="Calibri" w:hAnsi="Calibri"/>
                <w:b/>
                <w:color w:val="1A202C"/>
                <w:sz w:val="16"/>
              </w:rPr>
              <w:t>25 Puntos</w:t>
            </w:r>
          </w:p>
        </w:tc>
        <w:tc>
          <w:tcPr>
            <w:tcW w:type="dxa" w:w="2340"/>
            <w:tcMar>
              <w:top w:w="50" w:type="dxa"/>
              <w:left w:w="60" w:type="dxa"/>
              <w:bottom w:w="50" w:type="dxa"/>
              <w:right w:w="60" w:type="dxa"/>
            </w:tcMar>
          </w:tcPr>
          <w:p>
            <w:pPr>
              <w:spacing w:before="0" w:after="0" w:line="276" w:lineRule="auto"/>
            </w:pPr>
            <w:r>
              <w:rPr>
                <w:rFonts w:ascii="Calibri" w:hAnsi="Calibri"/>
                <w:color w:val="1A202C"/>
                <w:sz w:val="16"/>
              </w:rPr>
              <w:t>Estructura un descriptor por competencias observables, plan de onboarding a 30-60-90 días y 3 micro-charlas de valores vinculadas a KPIs OEE/SSO.</w:t>
            </w:r>
          </w:p>
        </w:tc>
        <w:tc>
          <w:tcPr>
            <w:tcW w:type="dxa" w:w="2340"/>
            <w:tcMar>
              <w:top w:w="50" w:type="dxa"/>
              <w:left w:w="60" w:type="dxa"/>
              <w:bottom w:w="50" w:type="dxa"/>
              <w:right w:w="60" w:type="dxa"/>
            </w:tcMar>
          </w:tcPr>
          <w:p>
            <w:pPr>
              <w:spacing w:before="0" w:after="0" w:line="276" w:lineRule="auto"/>
            </w:pPr>
            <w:r>
              <w:rPr>
                <w:rFonts w:ascii="Calibri" w:hAnsi="Calibri"/>
                <w:color w:val="1A202C"/>
                <w:sz w:val="16"/>
              </w:rPr>
              <w:t>Descriptor tradicional burocrático sin desglose de destrezas operativas o charlas desvinculadas de planta (&lt; 18.7 pts).</w:t>
            </w:r>
          </w:p>
        </w:tc>
      </w:tr>
      <w:tr>
        <w:tc>
          <w:tcPr>
            <w:tcW w:type="dxa" w:w="2340"/>
            <w:shd w:fill="F7FAFC"/>
            <w:tcMar>
              <w:top w:w="50" w:type="dxa"/>
              <w:left w:w="60" w:type="dxa"/>
              <w:bottom w:w="50" w:type="dxa"/>
              <w:right w:w="60" w:type="dxa"/>
            </w:tcMar>
          </w:tcPr>
          <w:p>
            <w:pPr>
              <w:spacing w:before="0" w:after="0" w:line="276" w:lineRule="auto"/>
            </w:pPr>
            <w:r>
              <w:rPr>
                <w:rFonts w:ascii="Calibri" w:hAnsi="Calibri"/>
                <w:b/>
                <w:color w:val="1A202C"/>
                <w:sz w:val="16"/>
              </w:rPr>
              <w:t>Módulo 3: Guía de Evaluación Práctica y Validación TSU</w:t>
            </w:r>
          </w:p>
        </w:tc>
        <w:tc>
          <w:tcPr>
            <w:tcW w:type="dxa" w:w="2340"/>
            <w:shd w:fill="F7FAFC"/>
            <w:tcMar>
              <w:top w:w="50" w:type="dxa"/>
              <w:left w:w="60" w:type="dxa"/>
              <w:bottom w:w="50" w:type="dxa"/>
              <w:right w:w="60" w:type="dxa"/>
            </w:tcMar>
          </w:tcPr>
          <w:p>
            <w:pPr>
              <w:spacing w:before="0" w:after="0" w:line="276" w:lineRule="auto"/>
            </w:pPr>
            <w:r>
              <w:rPr>
                <w:rFonts w:ascii="Calibri" w:hAnsi="Calibri"/>
                <w:b/>
                <w:color w:val="1A202C"/>
                <w:sz w:val="16"/>
              </w:rPr>
              <w:t>25 Puntos</w:t>
            </w:r>
          </w:p>
        </w:tc>
        <w:tc>
          <w:tcPr>
            <w:tcW w:type="dxa" w:w="2340"/>
            <w:shd w:fill="F7FAFC"/>
            <w:tcMar>
              <w:top w:w="50" w:type="dxa"/>
              <w:left w:w="60" w:type="dxa"/>
              <w:bottom w:w="50" w:type="dxa"/>
              <w:right w:w="60" w:type="dxa"/>
            </w:tcMar>
          </w:tcPr>
          <w:p>
            <w:pPr>
              <w:spacing w:before="0" w:after="0" w:line="276" w:lineRule="auto"/>
            </w:pPr>
            <w:r>
              <w:rPr>
                <w:rFonts w:ascii="Calibri" w:hAnsi="Calibri"/>
                <w:color w:val="1A202C"/>
                <w:sz w:val="16"/>
              </w:rPr>
              <w:t>Diseña una prueba práctica en banco de trabajo y utiliza el estándar Técnico Superior (TSU) como mecanismo de validación técnica rigurosa.</w:t>
            </w:r>
          </w:p>
        </w:tc>
        <w:tc>
          <w:tcPr>
            <w:tcW w:type="dxa" w:w="2340"/>
            <w:shd w:fill="F7FAFC"/>
            <w:tcMar>
              <w:top w:w="50" w:type="dxa"/>
              <w:left w:w="60" w:type="dxa"/>
              <w:bottom w:w="50" w:type="dxa"/>
              <w:right w:w="60" w:type="dxa"/>
            </w:tcMar>
          </w:tcPr>
          <w:p>
            <w:pPr>
              <w:spacing w:before="0" w:after="0" w:line="276" w:lineRule="auto"/>
            </w:pPr>
            <w:r>
              <w:rPr>
                <w:rFonts w:ascii="Calibri" w:hAnsi="Calibri"/>
                <w:color w:val="1A202C"/>
                <w:sz w:val="16"/>
              </w:rPr>
              <w:t>Evaluación teórica tradicional sin pruebas de destreza manual o sin respaldo de competencias de nivel superior (&lt; 18.7 pts).</w:t>
            </w:r>
          </w:p>
        </w:tc>
      </w:tr>
      <w:tr>
        <w:tc>
          <w:tcPr>
            <w:tcW w:type="dxa" w:w="2340"/>
            <w:tcMar>
              <w:top w:w="50" w:type="dxa"/>
              <w:left w:w="60" w:type="dxa"/>
              <w:bottom w:w="50" w:type="dxa"/>
              <w:right w:w="60" w:type="dxa"/>
            </w:tcMar>
          </w:tcPr>
          <w:p>
            <w:pPr>
              <w:spacing w:before="0" w:after="0" w:line="276" w:lineRule="auto"/>
            </w:pPr>
            <w:r>
              <w:rPr>
                <w:rFonts w:ascii="Calibri" w:hAnsi="Calibri"/>
                <w:b/>
                <w:color w:val="1A202C"/>
                <w:sz w:val="16"/>
              </w:rPr>
              <w:t>Módulo 4: Sustentación Plenaria y Acuerdos de Vinculación</w:t>
            </w:r>
          </w:p>
        </w:tc>
        <w:tc>
          <w:tcPr>
            <w:tcW w:type="dxa" w:w="2340"/>
            <w:tcMar>
              <w:top w:w="50" w:type="dxa"/>
              <w:left w:w="60" w:type="dxa"/>
              <w:bottom w:w="50" w:type="dxa"/>
              <w:right w:w="60" w:type="dxa"/>
            </w:tcMar>
          </w:tcPr>
          <w:p>
            <w:pPr>
              <w:spacing w:before="0" w:after="0" w:line="276" w:lineRule="auto"/>
            </w:pPr>
            <w:r>
              <w:rPr>
                <w:rFonts w:ascii="Calibri" w:hAnsi="Calibri"/>
                <w:b/>
                <w:color w:val="1A202C"/>
                <w:sz w:val="16"/>
              </w:rPr>
              <w:t>25 Puntos</w:t>
            </w:r>
          </w:p>
        </w:tc>
        <w:tc>
          <w:tcPr>
            <w:tcW w:type="dxa" w:w="2340"/>
            <w:tcMar>
              <w:top w:w="50" w:type="dxa"/>
              <w:left w:w="60" w:type="dxa"/>
              <w:bottom w:w="50" w:type="dxa"/>
              <w:right w:w="60" w:type="dxa"/>
            </w:tcMar>
          </w:tcPr>
          <w:p>
            <w:pPr>
              <w:spacing w:before="0" w:after="0" w:line="276" w:lineRule="auto"/>
            </w:pPr>
            <w:r>
              <w:rPr>
                <w:rFonts w:ascii="Calibri" w:hAnsi="Calibri"/>
                <w:color w:val="1A202C"/>
                <w:sz w:val="16"/>
              </w:rPr>
              <w:t>Sustenta con solvencia la ficha diagnóstica en la plenaria, aporta retroalimentación crítica a Kinal y formaliza acuerdos de vinculación.</w:t>
            </w:r>
          </w:p>
        </w:tc>
        <w:tc>
          <w:tcPr>
            <w:tcW w:type="dxa" w:w="2340"/>
            <w:tcMar>
              <w:top w:w="50" w:type="dxa"/>
              <w:left w:w="60" w:type="dxa"/>
              <w:bottom w:w="50" w:type="dxa"/>
              <w:right w:w="60" w:type="dxa"/>
            </w:tcMar>
          </w:tcPr>
          <w:p>
            <w:pPr>
              <w:spacing w:before="0" w:after="0" w:line="276" w:lineRule="auto"/>
            </w:pPr>
            <w:r>
              <w:rPr>
                <w:rFonts w:ascii="Calibri" w:hAnsi="Calibri"/>
                <w:color w:val="1A202C"/>
                <w:sz w:val="16"/>
              </w:rPr>
              <w:t>Participación pasiva en la plenaria sin aportes significativos a la vinculación escuela-empresa (&lt; 18.7 pts).</w:t>
            </w:r>
          </w:p>
        </w:tc>
      </w:tr>
    </w:tbl>
    <w:p>
      <w:pPr>
        <w:keepNext/>
        <w:spacing w:before="200" w:after="80"/>
      </w:pPr>
      <w:r>
        <w:rPr>
          <w:rFonts w:ascii="Calibri" w:hAnsi="Calibri"/>
          <w:b/>
          <w:color w:val="003366"/>
          <w:sz w:val="22"/>
        </w:rPr>
        <w:t>3.2 Formato de Levantamiento: Ficha Diagnóstica de Necesidades de la Industria</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3312"/>
        <w:gridCol w:w="6048"/>
      </w:tblGrid>
      <w:tr>
        <w:tc>
          <w:tcPr>
            <w:tcW w:type="dxa" w:w="4680"/>
            <w:shd w:fill="F7FAFC"/>
            <w:tcMar>
              <w:top w:w="55" w:type="dxa"/>
              <w:left w:w="75" w:type="dxa"/>
              <w:bottom w:w="55" w:type="dxa"/>
              <w:right w:w="75" w:type="dxa"/>
            </w:tcMar>
          </w:tcPr>
          <w:p>
            <w:pPr>
              <w:spacing w:before="0" w:after="0" w:line="276" w:lineRule="auto"/>
            </w:pPr>
            <w:r>
              <w:rPr>
                <w:rFonts w:ascii="Calibri" w:hAnsi="Calibri"/>
                <w:b/>
                <w:color w:val="003366"/>
                <w:sz w:val="18"/>
              </w:rPr>
              <w:t>Datos de la Empresa y Representante:</w:t>
            </w:r>
          </w:p>
        </w:tc>
        <w:tc>
          <w:tcPr>
            <w:tcW w:type="dxa" w:w="4680"/>
            <w:tcMar>
              <w:top w:w="55" w:type="dxa"/>
              <w:left w:w="75" w:type="dxa"/>
              <w:bottom w:w="55" w:type="dxa"/>
              <w:right w:w="75" w:type="dxa"/>
            </w:tcMar>
          </w:tcPr>
          <w:p>
            <w:pPr>
              <w:spacing w:before="0" w:after="0" w:line="276" w:lineRule="auto"/>
            </w:pPr>
            <w:r>
              <w:rPr>
                <w:rFonts w:ascii="Calibri" w:hAnsi="Calibri"/>
                <w:color w:val="1A202C"/>
                <w:sz w:val="18"/>
              </w:rPr>
              <w:t>Empresa: _______________________________ | Sector Productivo: _______________________</w:t>
              <w:br/>
              <w:t>Representante: ___________________________ | Cargo Directivo: _________________________</w:t>
            </w:r>
          </w:p>
        </w:tc>
      </w:tr>
      <w:tr>
        <w:tc>
          <w:tcPr>
            <w:tcW w:type="dxa" w:w="4680"/>
            <w:shd w:fill="F7FAFC"/>
            <w:tcMar>
              <w:top w:w="55" w:type="dxa"/>
              <w:left w:w="75" w:type="dxa"/>
              <w:bottom w:w="55" w:type="dxa"/>
              <w:right w:w="75" w:type="dxa"/>
            </w:tcMar>
          </w:tcPr>
          <w:p>
            <w:pPr>
              <w:spacing w:before="0" w:after="0" w:line="276" w:lineRule="auto"/>
            </w:pPr>
            <w:r>
              <w:rPr>
                <w:rFonts w:ascii="Calibri" w:hAnsi="Calibri"/>
                <w:b/>
                <w:color w:val="003366"/>
                <w:sz w:val="18"/>
              </w:rPr>
              <w:t>Competencias Técnicas más Demandadas:</w:t>
            </w:r>
          </w:p>
        </w:tc>
        <w:tc>
          <w:tcPr>
            <w:tcW w:type="dxa" w:w="4680"/>
            <w:tcMar>
              <w:top w:w="55" w:type="dxa"/>
              <w:left w:w="75" w:type="dxa"/>
              <w:bottom w:w="55" w:type="dxa"/>
              <w:right w:w="75" w:type="dxa"/>
            </w:tcMar>
          </w:tcPr>
          <w:p>
            <w:pPr>
              <w:spacing w:before="0" w:after="0" w:line="276" w:lineRule="auto"/>
            </w:pPr>
            <w:r>
              <w:rPr>
                <w:rFonts w:ascii="Calibri" w:hAnsi="Calibri"/>
                <w:color w:val="1A202C"/>
                <w:sz w:val="18"/>
              </w:rPr>
              <w:t>Principales destrezas y conocimientos técnicos más difíciles de encontrar en el personal operativo: __________________________________________________________________</w:t>
            </w:r>
          </w:p>
        </w:tc>
      </w:tr>
      <w:tr>
        <w:tc>
          <w:tcPr>
            <w:tcW w:type="dxa" w:w="4680"/>
            <w:shd w:fill="F7FAFC"/>
            <w:tcMar>
              <w:top w:w="55" w:type="dxa"/>
              <w:left w:w="75" w:type="dxa"/>
              <w:bottom w:w="55" w:type="dxa"/>
              <w:right w:w="75" w:type="dxa"/>
            </w:tcMar>
          </w:tcPr>
          <w:p>
            <w:pPr>
              <w:spacing w:before="0" w:after="0" w:line="276" w:lineRule="auto"/>
            </w:pPr>
            <w:r>
              <w:rPr>
                <w:rFonts w:ascii="Calibri" w:hAnsi="Calibri"/>
                <w:b/>
                <w:color w:val="003366"/>
                <w:sz w:val="18"/>
              </w:rPr>
              <w:t>Brechas en Mandos Medios y Factor Humano:</w:t>
            </w:r>
          </w:p>
        </w:tc>
        <w:tc>
          <w:tcPr>
            <w:tcW w:type="dxa" w:w="4680"/>
            <w:tcMar>
              <w:top w:w="55" w:type="dxa"/>
              <w:left w:w="75" w:type="dxa"/>
              <w:bottom w:w="55" w:type="dxa"/>
              <w:right w:w="75" w:type="dxa"/>
            </w:tcMar>
          </w:tcPr>
          <w:p>
            <w:pPr>
              <w:spacing w:before="0" w:after="0" w:line="276" w:lineRule="auto"/>
            </w:pPr>
            <w:r>
              <w:rPr>
                <w:rFonts w:ascii="Calibri" w:hAnsi="Calibri"/>
                <w:color w:val="1A202C"/>
                <w:sz w:val="18"/>
              </w:rPr>
              <w:t>Habilidades de liderazgo y humanas más necesarias en supervisores de planta (comunicación, respeto, trabajo bien hecho, etc.): _______________________________________________</w:t>
            </w:r>
          </w:p>
        </w:tc>
      </w:tr>
      <w:tr>
        <w:tc>
          <w:tcPr>
            <w:tcW w:type="dxa" w:w="4680"/>
            <w:shd w:fill="F7FAFC"/>
            <w:tcMar>
              <w:top w:w="55" w:type="dxa"/>
              <w:left w:w="75" w:type="dxa"/>
              <w:bottom w:w="55" w:type="dxa"/>
              <w:right w:w="75" w:type="dxa"/>
            </w:tcMar>
          </w:tcPr>
          <w:p>
            <w:pPr>
              <w:spacing w:before="0" w:after="0" w:line="276" w:lineRule="auto"/>
            </w:pPr>
            <w:r>
              <w:rPr>
                <w:rFonts w:ascii="Calibri" w:hAnsi="Calibri"/>
                <w:b/>
                <w:color w:val="003366"/>
                <w:sz w:val="18"/>
              </w:rPr>
              <w:t>Tecnologías Emergentes en su Planta:</w:t>
            </w:r>
          </w:p>
        </w:tc>
        <w:tc>
          <w:tcPr>
            <w:tcW w:type="dxa" w:w="4680"/>
            <w:tcMar>
              <w:top w:w="55" w:type="dxa"/>
              <w:left w:w="75" w:type="dxa"/>
              <w:bottom w:w="55" w:type="dxa"/>
              <w:right w:w="75" w:type="dxa"/>
            </w:tcMar>
          </w:tcPr>
          <w:p>
            <w:pPr>
              <w:spacing w:before="0" w:after="0" w:line="276" w:lineRule="auto"/>
            </w:pPr>
            <w:r>
              <w:rPr>
                <w:rFonts w:ascii="Calibri" w:hAnsi="Calibri"/>
                <w:color w:val="1A202C"/>
                <w:sz w:val="18"/>
              </w:rPr>
              <w:t>Nuevas maquinarias, protocolos o tecnologías a incorporar en los próximos 1-3 años (automatización, IoT, robótica, redes, etc.): _______________________________________________</w:t>
            </w:r>
          </w:p>
        </w:tc>
      </w:tr>
      <w:tr>
        <w:tc>
          <w:tcPr>
            <w:tcW w:type="dxa" w:w="4680"/>
            <w:shd w:fill="F7FAFC"/>
            <w:tcMar>
              <w:top w:w="55" w:type="dxa"/>
              <w:left w:w="75" w:type="dxa"/>
              <w:bottom w:w="55" w:type="dxa"/>
              <w:right w:w="75" w:type="dxa"/>
            </w:tcMar>
          </w:tcPr>
          <w:p>
            <w:pPr>
              <w:spacing w:before="0" w:after="0" w:line="276" w:lineRule="auto"/>
            </w:pPr>
            <w:r>
              <w:rPr>
                <w:rFonts w:ascii="Calibri" w:hAnsi="Calibri"/>
                <w:b/>
                <w:color w:val="003366"/>
                <w:sz w:val="18"/>
              </w:rPr>
              <w:t>Modalidad de Vinculación de Interés:</w:t>
            </w:r>
          </w:p>
        </w:tc>
        <w:tc>
          <w:tcPr>
            <w:tcW w:type="dxa" w:w="4680"/>
            <w:tcMar>
              <w:top w:w="55" w:type="dxa"/>
              <w:left w:w="75" w:type="dxa"/>
              <w:bottom w:w="55" w:type="dxa"/>
              <w:right w:w="75" w:type="dxa"/>
            </w:tcMar>
          </w:tcPr>
          <w:p>
            <w:pPr>
              <w:spacing w:before="0" w:after="0" w:line="276" w:lineRule="auto"/>
            </w:pPr>
            <w:r>
              <w:rPr>
                <w:rFonts w:ascii="Calibri" w:hAnsi="Calibri"/>
                <w:color w:val="1A202C"/>
                <w:sz w:val="18"/>
              </w:rPr>
              <w:t>[  ] Bolsa de Empleo Kinal    [  ] Semilleros de Formación Dual    [  ] Pasantías Técnicas    [  ] Capacitación a la Medida</w:t>
            </w:r>
          </w:p>
        </w:tc>
      </w:tr>
      <w:tr>
        <w:tc>
          <w:tcPr>
            <w:tcW w:type="dxa" w:w="4680"/>
            <w:shd w:fill="F7FAFC"/>
            <w:tcMar>
              <w:top w:w="55" w:type="dxa"/>
              <w:left w:w="75" w:type="dxa"/>
              <w:bottom w:w="55" w:type="dxa"/>
              <w:right w:w="75" w:type="dxa"/>
            </w:tcMar>
          </w:tcPr>
          <w:p>
            <w:pPr>
              <w:spacing w:before="0" w:after="0" w:line="276" w:lineRule="auto"/>
            </w:pPr>
            <w:r>
              <w:rPr>
                <w:rFonts w:ascii="Calibri" w:hAnsi="Calibri"/>
                <w:b/>
                <w:color w:val="003366"/>
                <w:sz w:val="18"/>
              </w:rPr>
              <w:t>Validación y Entrega:</w:t>
            </w:r>
          </w:p>
        </w:tc>
        <w:tc>
          <w:tcPr>
            <w:tcW w:type="dxa" w:w="4680"/>
            <w:tcMar>
              <w:top w:w="55" w:type="dxa"/>
              <w:left w:w="75" w:type="dxa"/>
              <w:bottom w:w="55" w:type="dxa"/>
              <w:right w:w="75" w:type="dxa"/>
            </w:tcMar>
          </w:tcPr>
          <w:p>
            <w:pPr>
              <w:spacing w:before="0" w:after="0" w:line="276" w:lineRule="auto"/>
            </w:pPr>
            <w:r>
              <w:rPr>
                <w:rFonts w:ascii="Calibri" w:hAnsi="Calibri"/>
                <w:color w:val="1A202C"/>
                <w:sz w:val="18"/>
              </w:rPr>
              <w:t>Firma Representante Empresarial: _________________ | Vo.Bo. Dirección Vinculación Kinal: _________________</w:t>
            </w:r>
          </w:p>
        </w:tc>
      </w:tr>
    </w:tbl>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76" w:lineRule="auto"/>
      <w:jc w:val="right"/>
    </w:pPr>
    <w:r>
      <w:rPr>
        <w:rFonts w:ascii="Calibri" w:hAnsi="Calibri"/>
        <w:color w:val="4A5568"/>
        <w:sz w:val="17"/>
      </w:rPr>
      <w:t>Fundación Kinal | Programa Ejecutivo de Vinculación y Liderazgo — Dosificación Oficial (8 Horas)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