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76" w:lineRule="auto"/>
      </w:pPr>
      <w:r>
        <w:rPr>
          <w:rFonts w:ascii="Calibri" w:hAnsi="Calibri"/>
          <w:b/>
          <w:color w:val="003366"/>
          <w:sz w:val="36"/>
        </w:rPr>
        <w:t>Programa Ejecutivo de Vinculación y Liderazgo: Gestión del Talento Técnico y Mandos Medios</w:t>
      </w:r>
    </w:p>
    <w:p>
      <w:pPr>
        <w:spacing w:before="0" w:after="240" w:line="276" w:lineRule="auto"/>
      </w:pPr>
      <w:r>
        <w:rPr>
          <w:rFonts w:ascii="Calibri" w:hAnsi="Calibri"/>
          <w:i/>
          <w:color w:val="4A5568"/>
          <w:sz w:val="20"/>
        </w:rPr>
        <w:t>Temario Analítico Oficial y Estructura Curricular por Módulos  |  Fundación Kinal — Dirección de Vinculación Empresarial</w:t>
        <w:br/>
        <w:t>Total: 8 Horas Formativas Ejecutivas | Organización Modular: Un Módulo por Sesión (4 Módulos / 4 Sesiones de 2 Horas)</w:t>
        <w:br/>
        <w:t>Modalidad Híbrida: 2 Sesiones Presenciales en Campus Kinal (4h) + 2 Sesiones Virtuales en Microsoft Teams (4h)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AFC"/>
            <w:tcMar>
              <w:top w:w="100" w:type="dxa"/>
              <w:left w:w="140" w:type="dxa"/>
              <w:bottom w:w="100" w:type="dxa"/>
              <w:right w:w="140" w:type="dxa"/>
            </w:tcMar>
            <w:tcBorders>
              <w:top w:val="none"/>
              <w:left w:val="single" w:sz="24" w:space="0" w:color="003366"/>
              <w:bottom w:val="none"/>
              <w:right w:val="none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003366"/>
                <w:sz w:val="19"/>
              </w:rPr>
              <w:t xml:space="preserve">Definición de Competencia DQR e Ideario Kinal: </w:t>
            </w:r>
            <w:r>
              <w:rPr>
                <w:rFonts w:ascii="Calibri" w:hAnsi="Calibri"/>
                <w:i/>
                <w:color w:val="2D3748"/>
                <w:sz w:val="19"/>
              </w:rPr>
              <w:t>«the ability and readiness of the individual to use knowledge, skills and personal, social and methodological competences and to behave in a considered, individual and socially responsible manner. Competence is understood in this sense as the comprehensive ability to act». El programa promueve un espacio de diálogo bidireccional entre la industria y Fundación Kinal para capacitar a los líderes de equipos en manejo de personal, liderazgo humanista, competencias técnicas operativas y mandos medios, integrando el Factor Humano y promoviendo el nivel Técnico Superior Universitario (TSU) como mecanismo riguroso de validación técnica y respaldo objetivo para la industria.</w:t>
            </w:r>
          </w:p>
        </w:tc>
      </w:tr>
    </w:tbl>
    <w:p>
      <w:pPr>
        <w:spacing w:after="120"/>
      </w:pPr>
    </w:p>
    <w:p>
      <w:pPr>
        <w:keepNext/>
        <w:spacing w:before="280" w:after="120"/>
      </w:pPr>
      <w:r>
        <w:rPr>
          <w:rFonts w:ascii="Calibri" w:hAnsi="Calibri"/>
          <w:b/>
          <w:color w:val="003366"/>
          <w:sz w:val="28"/>
        </w:rPr>
        <w:t>1. Competencia General y Resultados de Aprendizaje por Módulos</w:t>
      </w:r>
    </w:p>
    <w:p>
      <w:pPr>
        <w:spacing w:before="0" w:after="120" w:line="276" w:lineRule="auto"/>
      </w:pPr>
      <w:r>
        <w:rPr>
          <w:rFonts w:ascii="Calibri" w:hAnsi="Calibri"/>
          <w:b/>
          <w:color w:val="003366"/>
          <w:sz w:val="19"/>
        </w:rPr>
        <w:t>Competencia General del Programa:</w:t>
        <w:br/>
        <w:t>El participante implementa metodologías gerenciales efectivas para el manejo, desarrollo y liderazgo de personal operativo y mandos medios, aplicando la cultura del Factor Humano y los estándares de excelencia del «trabajo bien hecho», y utiliza los criterios del Técnico Superior Universitario (TSU) como marco de validación técnica y respaldo objetivo para responder con calidad y rigor a las necesidades actuales de la industria.</w:t>
      </w:r>
    </w:p>
    <w:p>
      <w:pPr>
        <w:spacing w:before="60" w:after="80" w:line="276" w:lineRule="auto"/>
        <w:ind w:left="288"/>
      </w:pPr>
      <w:r>
        <w:rPr>
          <w:rFonts w:ascii="Calibri" w:hAnsi="Calibri"/>
          <w:b/>
          <w:color w:val="003366"/>
          <w:sz w:val="19"/>
        </w:rPr>
        <w:t>• Módulo 1: Apertura Institucional, Liderazgo y Factor Humano en Cuadrillas de Trabajo (Sesión Presencial 1 — Campus Kinal • 2h):</w:t>
        <w:br/>
      </w:r>
      <w:r>
        <w:rPr>
          <w:rFonts w:ascii="Calibri" w:hAnsi="Calibri"/>
          <w:color w:val="1A202C"/>
          <w:sz w:val="19"/>
        </w:rPr>
        <w:t>Conoce la visión formativa de Kinal e implementa la cultura del Factor Humano en áreas productivas: respeto a la dignidad de la persona, erradicación tajante del maltrato verbal y fomento de seguridad psicológica para reportar fallas e incidentes sin temor.</w:t>
        <w:br/>
        <w:t>Actividad Formativa Evaluable: Código de Convivencia Operativa y Protocolo de Seguridad Psicológica y Cero Maltrato en Planta (25 Pts).</w:t>
      </w:r>
    </w:p>
    <w:p>
      <w:pPr>
        <w:spacing w:before="60" w:after="80" w:line="276" w:lineRule="auto"/>
        <w:ind w:left="288"/>
      </w:pPr>
      <w:r>
        <w:rPr>
          <w:rFonts w:ascii="Calibri" w:hAnsi="Calibri"/>
          <w:b/>
          <w:color w:val="003366"/>
          <w:sz w:val="19"/>
        </w:rPr>
        <w:t>• Módulo 2: Manejo de Personal Técnico y Desarrollo de Mandos Medios en Planta (Sesión Virtual 1 — Microsoft Teams • 2h):</w:t>
        <w:br/>
      </w:r>
      <w:r>
        <w:rPr>
          <w:rFonts w:ascii="Calibri" w:hAnsi="Calibri"/>
          <w:color w:val="1A202C"/>
          <w:sz w:val="19"/>
        </w:rPr>
        <w:t>Aplica metodologías contemporáneas para la atracción y selección por competencias demostrables, diseña planes de inducción técnica acelerada (onboarding en 30-60-90 días) para mitigar rotación temprana, y equipa a supervisores con herramientas de feedback asertivo y micro-charlas operativas de valores antes del turno vinculadas a KPIs (OEE/SSO).</w:t>
        <w:br/>
        <w:t>Actividad Formativa Evaluable: Descriptor por Competencias, Plan Onboarding 30-60-90 y Catálogo de 3 Micro-Charlas de Factor Humano (25 Pts).</w:t>
      </w:r>
    </w:p>
    <w:p>
      <w:pPr>
        <w:spacing w:before="60" w:after="80" w:line="276" w:lineRule="auto"/>
        <w:ind w:left="288"/>
      </w:pPr>
      <w:r>
        <w:rPr>
          <w:rFonts w:ascii="Calibri" w:hAnsi="Calibri"/>
          <w:b/>
          <w:color w:val="003366"/>
          <w:sz w:val="19"/>
        </w:rPr>
        <w:t>• Módulo 3: Fortalecimiento y Validación de Competencias: Nivel Técnico Superior (TSU) (Sesión Virtual 2 — Microsoft Teams • 2h):</w:t>
        <w:br/>
      </w:r>
      <w:r>
        <w:rPr>
          <w:rFonts w:ascii="Calibri" w:hAnsi="Calibri"/>
          <w:color w:val="1A202C"/>
          <w:sz w:val="19"/>
        </w:rPr>
        <w:t>Estructura matrices de competencias operativas observables (saber, hacer y ser), diseña pruebas de evaluación práctica en puesto y articula el nivel Técnico Superior (TSU) como el mecanismo institucional de validación técnica y respaldo objetivo para la industria ante tecnologías complejas.</w:t>
        <w:br/>
        <w:t>Actividad Formativa Evaluable: Guía de Evaluación Práctica en Puesto y Matriz de Validación Técnica de Planta bajo Estándar TSU (25 Pts).</w:t>
      </w:r>
    </w:p>
    <w:p>
      <w:pPr>
        <w:spacing w:before="60" w:after="80" w:line="276" w:lineRule="auto"/>
        <w:ind w:left="288"/>
      </w:pPr>
      <w:r>
        <w:rPr>
          <w:rFonts w:ascii="Calibri" w:hAnsi="Calibri"/>
          <w:b/>
          <w:color w:val="003366"/>
          <w:sz w:val="19"/>
        </w:rPr>
        <w:t>• Módulo 4: Sistematización de Demandas Industriales, Acuerdos de Vinculación y Clausura (Sesión Presencial 2 — Campus Kinal • 2h):</w:t>
        <w:br/>
      </w:r>
      <w:r>
        <w:rPr>
          <w:rFonts w:ascii="Calibri" w:hAnsi="Calibri"/>
          <w:color w:val="1A202C"/>
          <w:sz w:val="19"/>
        </w:rPr>
        <w:t>Participa en la mesa redonda plenaria de sistematización de demandas formativas de la industria para retroalimentar las carreras de Kinal, formaliza acuerdos de cooperación institucional y recibe el diploma de participación individual y reconocimiento corporativo.</w:t>
        <w:br/>
        <w:t>Actividad Formativa Evaluable: Sustentación Plenaria de la Ficha Diagnóstica Empresarial y Firma de Acuerdos de Vinculación (25 Pts).</w:t>
      </w:r>
    </w:p>
    <w:p>
      <w:pPr>
        <w:keepNext/>
        <w:spacing w:before="280" w:after="120"/>
      </w:pPr>
      <w:r>
        <w:rPr>
          <w:rFonts w:ascii="Calibri" w:hAnsi="Calibri"/>
          <w:b/>
          <w:color w:val="003366"/>
          <w:sz w:val="28"/>
        </w:rPr>
        <w:t>2. Temario Analítico Detallado por Módulos (Un Módulo por Sesión de 2 Horas)</w:t>
      </w:r>
    </w:p>
    <w:p>
      <w:pPr>
        <w:keepNext/>
        <w:spacing w:before="220" w:after="80"/>
      </w:pPr>
      <w:r>
        <w:rPr>
          <w:rFonts w:ascii="Calibri" w:hAnsi="Calibri"/>
          <w:b/>
          <w:color w:val="003366"/>
          <w:sz w:val="23"/>
        </w:rPr>
        <w:t>MÓDULO 1: APERTURA INSTITUCIONAL, LIDERAZGO Y FACTOR HUMANO EN CUADRILLAS DE TRABAJO</w:t>
        <w:br/>
        <w:t>(Sesión Presencial 1 — 2 Horas en Campus Kinal)</w:t>
      </w:r>
    </w:p>
    <w:p>
      <w:pPr>
        <w:keepNext/>
        <w:spacing w:before="160" w:after="40"/>
      </w:pPr>
      <w:r>
        <w:rPr>
          <w:rFonts w:ascii="Calibri" w:hAnsi="Calibri"/>
          <w:b/>
          <w:color w:val="4A5568"/>
          <w:sz w:val="20"/>
        </w:rPr>
        <w:t>1.1 Apertura Institucional y Presentación de la Iniciativa de Vinculación</w:t>
      </w:r>
    </w:p>
    <w:p>
      <w:pPr>
        <w:spacing w:before="20" w:after="40" w:line="276" w:lineRule="auto"/>
        <w:ind w:left="360"/>
      </w:pPr>
      <w:r>
        <w:rPr>
          <w:b/>
          <w:color w:val="003366"/>
        </w:rPr>
        <w:t xml:space="preserve">• </w:t>
      </w:r>
      <w:r>
        <w:rPr>
          <w:rFonts w:ascii="Calibri" w:hAnsi="Calibri"/>
          <w:color w:val="1A202C"/>
          <w:sz w:val="19"/>
        </w:rPr>
        <w:t>Bienvenida protocolaria por autoridades de Fundación Kinal y presentación del propósito del programa.</w:t>
      </w:r>
    </w:p>
    <w:p>
      <w:pPr>
        <w:spacing w:before="20" w:after="40" w:line="276" w:lineRule="auto"/>
        <w:ind w:left="360"/>
      </w:pPr>
      <w:r>
        <w:rPr>
          <w:b/>
          <w:color w:val="003366"/>
        </w:rPr>
        <w:t xml:space="preserve">• </w:t>
      </w:r>
      <w:r>
        <w:rPr>
          <w:rFonts w:ascii="Calibri" w:hAnsi="Calibri"/>
          <w:color w:val="1A202C"/>
          <w:sz w:val="19"/>
        </w:rPr>
        <w:t>La misión formativa de Kinal: educación integral técnica, excelencia profesional y servicio a la sociedad.</w:t>
      </w:r>
    </w:p>
    <w:p>
      <w:pPr>
        <w:spacing w:before="20" w:after="40" w:line="276" w:lineRule="auto"/>
        <w:ind w:left="360"/>
      </w:pPr>
      <w:r>
        <w:rPr>
          <w:b/>
          <w:color w:val="003366"/>
        </w:rPr>
        <w:t xml:space="preserve">• </w:t>
      </w:r>
      <w:r>
        <w:rPr>
          <w:rFonts w:ascii="Calibri" w:hAnsi="Calibri"/>
          <w:color w:val="1A202C"/>
          <w:sz w:val="19"/>
        </w:rPr>
        <w:t>Dinámica de networking directivo entre representantes de empresas y sectores productivos.</w:t>
      </w:r>
    </w:p>
    <w:p>
      <w:pPr>
        <w:keepNext/>
        <w:spacing w:before="160" w:after="40"/>
      </w:pPr>
      <w:r>
        <w:rPr>
          <w:rFonts w:ascii="Calibri" w:hAnsi="Calibri"/>
          <w:b/>
          <w:color w:val="4A5568"/>
          <w:sz w:val="20"/>
        </w:rPr>
        <w:t>1.2 La Filosofía del Factor Humano de Fundación Kinal en la Operación</w:t>
      </w:r>
    </w:p>
    <w:p>
      <w:pPr>
        <w:spacing w:before="20" w:after="40" w:line="276" w:lineRule="auto"/>
        <w:ind w:left="360"/>
      </w:pPr>
      <w:r>
        <w:rPr>
          <w:b/>
          <w:color w:val="003366"/>
        </w:rPr>
        <w:t xml:space="preserve">• </w:t>
      </w:r>
      <w:r>
        <w:rPr>
          <w:rFonts w:ascii="Calibri" w:hAnsi="Calibri"/>
          <w:color w:val="1A202C"/>
          <w:sz w:val="19"/>
        </w:rPr>
        <w:t>La persona en el centro del trabajo productivo: el trabajo como medio de realización y servicio.</w:t>
      </w:r>
    </w:p>
    <w:p>
      <w:pPr>
        <w:spacing w:before="20" w:after="40" w:line="276" w:lineRule="auto"/>
        <w:ind w:left="360"/>
      </w:pPr>
      <w:r>
        <w:rPr>
          <w:b/>
          <w:color w:val="003366"/>
        </w:rPr>
        <w:t xml:space="preserve">• </w:t>
      </w:r>
      <w:r>
        <w:rPr>
          <w:rFonts w:ascii="Calibri" w:hAnsi="Calibri"/>
          <w:color w:val="1A202C"/>
          <w:sz w:val="19"/>
        </w:rPr>
        <w:t>Los 4 Pilares Operativos de Kinal: Respeto a la Dignidad, El Trabajo Bien Hecho, Espíritu de Servicio y Libertad Responsable.</w:t>
      </w:r>
    </w:p>
    <w:p>
      <w:pPr>
        <w:spacing w:before="20" w:after="40" w:line="276" w:lineRule="auto"/>
        <w:ind w:left="360"/>
      </w:pPr>
      <w:r>
        <w:rPr>
          <w:b/>
          <w:color w:val="003366"/>
        </w:rPr>
        <w:t xml:space="preserve">• </w:t>
      </w:r>
      <w:r>
        <w:rPr>
          <w:rFonts w:ascii="Calibri" w:hAnsi="Calibri"/>
          <w:color w:val="1A202C"/>
          <w:sz w:val="19"/>
        </w:rPr>
        <w:t>El principio del «Trabajo Bien Hecho»: orden y pulcritud (5S), custodia celosa de maquinaria y herramientas, tolerancias exactas y rigor ético.</w:t>
      </w:r>
    </w:p>
    <w:p>
      <w:pPr>
        <w:keepNext/>
        <w:spacing w:before="160" w:after="40"/>
      </w:pPr>
      <w:r>
        <w:rPr>
          <w:rFonts w:ascii="Calibri" w:hAnsi="Calibri"/>
          <w:b/>
          <w:color w:val="4A5568"/>
          <w:sz w:val="20"/>
        </w:rPr>
        <w:t>1.3 Liderazgo Humanista y Seguridad Psicológica en Planta</w:t>
      </w:r>
    </w:p>
    <w:p>
      <w:pPr>
        <w:spacing w:before="20" w:after="40" w:line="276" w:lineRule="auto"/>
        <w:ind w:left="360"/>
      </w:pPr>
      <w:r>
        <w:rPr>
          <w:b/>
          <w:color w:val="003366"/>
        </w:rPr>
        <w:t xml:space="preserve">• </w:t>
      </w:r>
      <w:r>
        <w:rPr>
          <w:rFonts w:ascii="Calibri" w:hAnsi="Calibri"/>
          <w:color w:val="1A202C"/>
          <w:sz w:val="19"/>
        </w:rPr>
        <w:t>Superación definitiva de la cultura del capataz: erradicación tajante del maltrato verbal, gritos y autoritarismo en planta y talleres.</w:t>
      </w:r>
    </w:p>
    <w:p>
      <w:pPr>
        <w:spacing w:before="20" w:after="40" w:line="276" w:lineRule="auto"/>
        <w:ind w:left="360"/>
      </w:pPr>
      <w:r>
        <w:rPr>
          <w:b/>
          <w:color w:val="003366"/>
        </w:rPr>
        <w:t xml:space="preserve">• </w:t>
      </w:r>
      <w:r>
        <w:rPr>
          <w:rFonts w:ascii="Calibri" w:hAnsi="Calibri"/>
          <w:color w:val="1A202C"/>
          <w:sz w:val="19"/>
        </w:rPr>
        <w:t>Seguridad psicológica en el trabajo: cómo generar confianza para que los operarios reporten averías, fallas incipientes y cuasi-accidentes de inmediato sin temor a represalias destructivas.</w:t>
      </w:r>
    </w:p>
    <w:p>
      <w:pPr>
        <w:spacing w:before="20" w:after="40" w:line="276" w:lineRule="auto"/>
        <w:ind w:left="360"/>
      </w:pPr>
      <w:r>
        <w:rPr>
          <w:b/>
          <w:color w:val="003366"/>
        </w:rPr>
        <w:t xml:space="preserve">• </w:t>
      </w:r>
      <w:r>
        <w:rPr>
          <w:rFonts w:ascii="Calibri" w:hAnsi="Calibri"/>
          <w:color w:val="1A202C"/>
          <w:sz w:val="19"/>
        </w:rPr>
        <w:t>Establecimiento de códigos de convivencia respetuosa y canales éticos de escucha en áreas técnicas.</w:t>
      </w:r>
    </w:p>
    <w:p>
      <w:pPr>
        <w:spacing w:before="80" w:after="120" w:line="276" w:lineRule="auto"/>
        <w:ind w:left="360"/>
      </w:pPr>
      <w:r>
        <w:rPr>
          <w:b/>
          <w:color w:val="003366"/>
        </w:rPr>
        <w:t xml:space="preserve">Actividad Formativa Evaluable del Módulo 1 (25 Puntos): </w:t>
      </w:r>
      <w:r>
        <w:rPr>
          <w:i/>
        </w:rPr>
        <w:t>Código de Convivencia Operativa y Protocolo de Seguridad Psicológica y Cero Tolerancia al Maltrato en Planta.</w:t>
      </w:r>
    </w:p>
    <w:p>
      <w:pPr>
        <w:keepNext/>
        <w:spacing w:before="220" w:after="80"/>
      </w:pPr>
      <w:r>
        <w:rPr>
          <w:rFonts w:ascii="Calibri" w:hAnsi="Calibri"/>
          <w:b/>
          <w:color w:val="003366"/>
          <w:sz w:val="23"/>
        </w:rPr>
        <w:t>MÓDULO 2: MANEJO DE PERSONAL TÉCNICO Y DESARROLLO DE MANDOS MEDIOS EN PLANTA</w:t>
        <w:br/>
        <w:t>(Sesión Virtual 1 — 2 Horas en Microsoft Teams)</w:t>
      </w:r>
    </w:p>
    <w:p>
      <w:pPr>
        <w:keepNext/>
        <w:spacing w:before="160" w:after="40"/>
      </w:pPr>
      <w:r>
        <w:rPr>
          <w:rFonts w:ascii="Calibri" w:hAnsi="Calibri"/>
          <w:b/>
          <w:color w:val="4A5568"/>
          <w:sz w:val="20"/>
        </w:rPr>
        <w:t>2.1 Atracción y Reclutamiento Efectivo de Talento Operativo</w:t>
      </w:r>
    </w:p>
    <w:p>
      <w:pPr>
        <w:spacing w:before="20" w:after="40" w:line="276" w:lineRule="auto"/>
        <w:ind w:left="360"/>
      </w:pPr>
      <w:r>
        <w:rPr>
          <w:b/>
          <w:color w:val="003366"/>
        </w:rPr>
        <w:t xml:space="preserve">• </w:t>
      </w:r>
      <w:r>
        <w:rPr>
          <w:rFonts w:ascii="Calibri" w:hAnsi="Calibri"/>
          <w:color w:val="1A202C"/>
          <w:sz w:val="19"/>
        </w:rPr>
        <w:t>Por qué fracasan los descriptores de puesto tradicionales en áreas operativas y técnicas.</w:t>
      </w:r>
    </w:p>
    <w:p>
      <w:pPr>
        <w:spacing w:before="20" w:after="40" w:line="276" w:lineRule="auto"/>
        <w:ind w:left="360"/>
      </w:pPr>
      <w:r>
        <w:rPr>
          <w:b/>
          <w:color w:val="003366"/>
        </w:rPr>
        <w:t xml:space="preserve">• </w:t>
      </w:r>
      <w:r>
        <w:rPr>
          <w:rFonts w:ascii="Calibri" w:hAnsi="Calibri"/>
          <w:color w:val="1A202C"/>
          <w:sz w:val="19"/>
        </w:rPr>
        <w:t>Diseño de descriptores basados en competencias demostrables (saber conceptual, destreza manual e instrumental y actitud de seguridad).</w:t>
      </w:r>
    </w:p>
    <w:p>
      <w:pPr>
        <w:spacing w:before="20" w:after="40" w:line="276" w:lineRule="auto"/>
        <w:ind w:left="360"/>
      </w:pPr>
      <w:r>
        <w:rPr>
          <w:b/>
          <w:color w:val="003366"/>
        </w:rPr>
        <w:t xml:space="preserve">• </w:t>
      </w:r>
      <w:r>
        <w:rPr>
          <w:rFonts w:ascii="Calibri" w:hAnsi="Calibri"/>
          <w:color w:val="1A202C"/>
          <w:sz w:val="19"/>
        </w:rPr>
        <w:t>Canales efectivos y estrategias de selección para atraer personal técnico con potencial de crecimiento.</w:t>
      </w:r>
    </w:p>
    <w:p>
      <w:pPr>
        <w:keepNext/>
        <w:spacing w:before="160" w:after="40"/>
      </w:pPr>
      <w:r>
        <w:rPr>
          <w:rFonts w:ascii="Calibri" w:hAnsi="Calibri"/>
          <w:b/>
          <w:color w:val="4A5568"/>
          <w:sz w:val="20"/>
        </w:rPr>
        <w:t>2.2 Inducción Técnica Acelerada (Onboarding en 30-60-90 Días) y Reducción de Rotación</w:t>
      </w:r>
    </w:p>
    <w:p>
      <w:pPr>
        <w:spacing w:before="20" w:after="40" w:line="276" w:lineRule="auto"/>
        <w:ind w:left="360"/>
      </w:pPr>
      <w:r>
        <w:rPr>
          <w:b/>
          <w:color w:val="003366"/>
        </w:rPr>
        <w:t xml:space="preserve">• </w:t>
      </w:r>
      <w:r>
        <w:rPr>
          <w:rFonts w:ascii="Calibri" w:hAnsi="Calibri"/>
          <w:color w:val="1A202C"/>
          <w:sz w:val="19"/>
        </w:rPr>
        <w:t>Costos ocultos de la rotación temprana en plantas: mermas, retrabajos, desbalance de cuadrillas y desgaste de supervisión.</w:t>
      </w:r>
    </w:p>
    <w:p>
      <w:pPr>
        <w:spacing w:before="20" w:after="40" w:line="276" w:lineRule="auto"/>
        <w:ind w:left="360"/>
      </w:pPr>
      <w:r>
        <w:rPr>
          <w:b/>
          <w:color w:val="003366"/>
        </w:rPr>
        <w:t xml:space="preserve">• </w:t>
      </w:r>
      <w:r>
        <w:rPr>
          <w:rFonts w:ascii="Calibri" w:hAnsi="Calibri"/>
          <w:color w:val="1A202C"/>
          <w:sz w:val="19"/>
        </w:rPr>
        <w:t>Estructuración de planes de inducción técnica paso a paso: conocimiento de procesos, maquinaria crítica y estándares de calidad.</w:t>
      </w:r>
    </w:p>
    <w:p>
      <w:pPr>
        <w:spacing w:before="20" w:after="40" w:line="276" w:lineRule="auto"/>
        <w:ind w:left="360"/>
      </w:pPr>
      <w:r>
        <w:rPr>
          <w:b/>
          <w:color w:val="003366"/>
        </w:rPr>
        <w:t xml:space="preserve">• </w:t>
      </w:r>
      <w:r>
        <w:rPr>
          <w:rFonts w:ascii="Calibri" w:hAnsi="Calibri"/>
          <w:color w:val="1A202C"/>
          <w:sz w:val="19"/>
        </w:rPr>
        <w:t>Rutas de desarrollo técnico para fidelizar al colaborador operativo calificado.</w:t>
      </w:r>
    </w:p>
    <w:p>
      <w:pPr>
        <w:keepNext/>
        <w:spacing w:before="160" w:after="40"/>
      </w:pPr>
      <w:r>
        <w:rPr>
          <w:rFonts w:ascii="Calibri" w:hAnsi="Calibri"/>
          <w:b/>
          <w:color w:val="4A5568"/>
          <w:sz w:val="20"/>
        </w:rPr>
        <w:t>2.3 Supervisión de Primera Línea y 'Micro-Charlas de Factor Humano'</w:t>
      </w:r>
    </w:p>
    <w:p>
      <w:pPr>
        <w:spacing w:before="20" w:after="40" w:line="276" w:lineRule="auto"/>
        <w:ind w:left="360"/>
      </w:pPr>
      <w:r>
        <w:rPr>
          <w:b/>
          <w:color w:val="003366"/>
        </w:rPr>
        <w:t xml:space="preserve">• </w:t>
      </w:r>
      <w:r>
        <w:rPr>
          <w:rFonts w:ascii="Calibri" w:hAnsi="Calibri"/>
          <w:color w:val="1A202C"/>
          <w:sz w:val="19"/>
        </w:rPr>
        <w:t>El supervisor de taller como puente crítico: articulación entre la gerencia y la realidad cotidiana del piso de planta.</w:t>
      </w:r>
    </w:p>
    <w:p>
      <w:pPr>
        <w:spacing w:before="20" w:after="40" w:line="276" w:lineRule="auto"/>
        <w:ind w:left="360"/>
      </w:pPr>
      <w:r>
        <w:rPr>
          <w:b/>
          <w:color w:val="003366"/>
        </w:rPr>
        <w:t xml:space="preserve">• </w:t>
      </w:r>
      <w:r>
        <w:rPr>
          <w:rFonts w:ascii="Calibri" w:hAnsi="Calibri"/>
          <w:color w:val="1A202C"/>
          <w:sz w:val="19"/>
        </w:rPr>
        <w:t>Herramientas de comunicación asertiva, retroalimentación formativa sin humillar y resolución constructiva de conflictos.</w:t>
      </w:r>
    </w:p>
    <w:p>
      <w:pPr>
        <w:spacing w:before="20" w:after="40" w:line="276" w:lineRule="auto"/>
        <w:ind w:left="360"/>
      </w:pPr>
      <w:r>
        <w:rPr>
          <w:b/>
          <w:color w:val="003366"/>
        </w:rPr>
        <w:t xml:space="preserve">• </w:t>
      </w:r>
      <w:r>
        <w:rPr>
          <w:rFonts w:ascii="Calibri" w:hAnsi="Calibri"/>
          <w:color w:val="1A202C"/>
          <w:sz w:val="19"/>
        </w:rPr>
        <w:t>Diseño y conducción de 'Las Charlas de 10 Minutos de Factor Humano' antes de iniciar el turno vinculadas a KPIs (OEE y SSO).</w:t>
      </w:r>
    </w:p>
    <w:p>
      <w:pPr>
        <w:spacing w:before="80" w:after="120" w:line="276" w:lineRule="auto"/>
        <w:ind w:left="360"/>
      </w:pPr>
      <w:r>
        <w:rPr>
          <w:b/>
          <w:color w:val="003366"/>
        </w:rPr>
        <w:t xml:space="preserve">Actividad Formativa Evaluable del Módulo 2 (25 Puntos): </w:t>
      </w:r>
      <w:r>
        <w:rPr>
          <w:i/>
        </w:rPr>
        <w:t>Descriptor de Puesto Técnico por Competencias Demostrables, Plan de Onboarding en 30-60-90 Días y Catálogo de 3 Micro-Charlas de Factor Humano.</w:t>
      </w:r>
    </w:p>
    <w:p>
      <w:pPr>
        <w:keepNext/>
        <w:spacing w:before="220" w:after="80"/>
      </w:pPr>
      <w:r>
        <w:rPr>
          <w:rFonts w:ascii="Calibri" w:hAnsi="Calibri"/>
          <w:b/>
          <w:color w:val="003366"/>
          <w:sz w:val="23"/>
        </w:rPr>
        <w:t>MÓDULO 3: FORTALECIMIENTO Y VALIDACIÓN DE COMPETENCIAS: EL NIVEL TÉCNICO SUPERIOR (TSU) COMO RESPALDO INDUSTRIAL</w:t>
        <w:br/>
        <w:t>(Sesión Virtual 2 — 2 Horas en Microsoft Teams)</w:t>
      </w:r>
    </w:p>
    <w:p>
      <w:pPr>
        <w:keepNext/>
        <w:spacing w:before="160" w:after="40"/>
      </w:pPr>
      <w:r>
        <w:rPr>
          <w:rFonts w:ascii="Calibri" w:hAnsi="Calibri"/>
          <w:b/>
          <w:color w:val="4A5568"/>
          <w:sz w:val="20"/>
        </w:rPr>
        <w:t>3.1 Mapeo y Estandarización de Competencias Operativas de Planta</w:t>
      </w:r>
    </w:p>
    <w:p>
      <w:pPr>
        <w:spacing w:before="20" w:after="40" w:line="276" w:lineRule="auto"/>
        <w:ind w:left="360"/>
      </w:pPr>
      <w:r>
        <w:rPr>
          <w:b/>
          <w:color w:val="003366"/>
        </w:rPr>
        <w:t xml:space="preserve">• </w:t>
      </w:r>
      <w:r>
        <w:rPr>
          <w:rFonts w:ascii="Calibri" w:hAnsi="Calibri"/>
          <w:color w:val="1A202C"/>
          <w:sz w:val="19"/>
        </w:rPr>
        <w:t>Definición y estructuración de competencias técnicas de planta bajo marcos internacionales (DQR).</w:t>
      </w:r>
    </w:p>
    <w:p>
      <w:pPr>
        <w:spacing w:before="20" w:after="40" w:line="276" w:lineRule="auto"/>
        <w:ind w:left="360"/>
      </w:pPr>
      <w:r>
        <w:rPr>
          <w:b/>
          <w:color w:val="003366"/>
        </w:rPr>
        <w:t xml:space="preserve">• </w:t>
      </w:r>
      <w:r>
        <w:rPr>
          <w:rFonts w:ascii="Calibri" w:hAnsi="Calibri"/>
          <w:color w:val="1A202C"/>
          <w:sz w:val="19"/>
        </w:rPr>
        <w:t>Desglose tridimensional de la competencia técnica: saber (conocimiento normativo y analítico), saber hacer (destreza manual, calibración e instrumental) y saber ser (seguridad y orden operativo).</w:t>
      </w:r>
    </w:p>
    <w:p>
      <w:pPr>
        <w:spacing w:before="20" w:after="40" w:line="276" w:lineRule="auto"/>
        <w:ind w:left="360"/>
      </w:pPr>
      <w:r>
        <w:rPr>
          <w:b/>
          <w:color w:val="003366"/>
        </w:rPr>
        <w:t xml:space="preserve">• </w:t>
      </w:r>
      <w:r>
        <w:rPr>
          <w:rFonts w:ascii="Calibri" w:hAnsi="Calibri"/>
          <w:color w:val="1A202C"/>
          <w:sz w:val="19"/>
        </w:rPr>
        <w:t>Instrumentos objetivos para auditar el nivel técnico real del personal operativo en piso.</w:t>
      </w:r>
    </w:p>
    <w:p>
      <w:pPr>
        <w:keepNext/>
        <w:spacing w:before="160" w:after="40"/>
      </w:pPr>
      <w:r>
        <w:rPr>
          <w:rFonts w:ascii="Calibri" w:hAnsi="Calibri"/>
          <w:b/>
          <w:color w:val="4A5568"/>
          <w:sz w:val="20"/>
        </w:rPr>
        <w:t>3.2 El Técnico Superior Universitario (TSU) como Mecanismo de Validación y Respaldo para la Industria</w:t>
      </w:r>
    </w:p>
    <w:p>
      <w:pPr>
        <w:spacing w:before="20" w:after="40" w:line="276" w:lineRule="auto"/>
        <w:ind w:left="360"/>
      </w:pPr>
      <w:r>
        <w:rPr>
          <w:b/>
          <w:color w:val="003366"/>
        </w:rPr>
        <w:t xml:space="preserve">• </w:t>
      </w:r>
      <w:r>
        <w:rPr>
          <w:rFonts w:ascii="Calibri" w:hAnsi="Calibri"/>
          <w:color w:val="1A202C"/>
          <w:sz w:val="19"/>
        </w:rPr>
        <w:t>El Técnico Superior Universitario (TSU) como mecanismo riguroso de validación de competencias técnicas: garantía de solvencia operativa, lectura avanzada de planos e interpretación analítica de fallas.</w:t>
      </w:r>
    </w:p>
    <w:p>
      <w:pPr>
        <w:spacing w:before="20" w:after="40" w:line="276" w:lineRule="auto"/>
        <w:ind w:left="360"/>
      </w:pPr>
      <w:r>
        <w:rPr>
          <w:b/>
          <w:color w:val="003366"/>
        </w:rPr>
        <w:t xml:space="preserve">• </w:t>
      </w:r>
      <w:r>
        <w:rPr>
          <w:rFonts w:ascii="Calibri" w:hAnsi="Calibri"/>
          <w:color w:val="1A202C"/>
          <w:sz w:val="19"/>
        </w:rPr>
        <w:t>La importancia de las competencias a nivel superior en el área técnica: por qué la tecnología moderna (PLCs, control numérico, servomecanismos, redes industriales) exige respaldo formativo formal y no mera intuición empírica.</w:t>
      </w:r>
    </w:p>
    <w:p>
      <w:pPr>
        <w:spacing w:before="20" w:after="40" w:line="276" w:lineRule="auto"/>
        <w:ind w:left="360"/>
      </w:pPr>
      <w:r>
        <w:rPr>
          <w:b/>
          <w:color w:val="003366"/>
        </w:rPr>
        <w:t xml:space="preserve">• </w:t>
      </w:r>
      <w:r>
        <w:rPr>
          <w:rFonts w:ascii="Calibri" w:hAnsi="Calibri"/>
          <w:color w:val="1A202C"/>
          <w:sz w:val="19"/>
        </w:rPr>
        <w:t>El TSU como respaldo indispensable para la industria: articulación eficiente entre la ingeniería de diseño y la ejecución en piso, reduciendo tiempos muertos y costos de mantenimiento correctivo.</w:t>
      </w:r>
    </w:p>
    <w:p>
      <w:pPr>
        <w:keepNext/>
        <w:spacing w:before="160" w:after="40"/>
      </w:pPr>
      <w:r>
        <w:rPr>
          <w:rFonts w:ascii="Calibri" w:hAnsi="Calibri"/>
          <w:b/>
          <w:color w:val="4A5568"/>
          <w:sz w:val="20"/>
        </w:rPr>
        <w:t>3.3 Evaluación Práctica en Puesto y Transferencia de Habilidades</w:t>
      </w:r>
    </w:p>
    <w:p>
      <w:pPr>
        <w:spacing w:before="20" w:after="40" w:line="276" w:lineRule="auto"/>
        <w:ind w:left="360"/>
      </w:pPr>
      <w:r>
        <w:rPr>
          <w:b/>
          <w:color w:val="003366"/>
        </w:rPr>
        <w:t xml:space="preserve">• </w:t>
      </w:r>
      <w:r>
        <w:rPr>
          <w:rFonts w:ascii="Calibri" w:hAnsi="Calibri"/>
          <w:color w:val="1A202C"/>
          <w:sz w:val="19"/>
        </w:rPr>
        <w:t>Diseño de pruebas prácticas en banco de trabajo: evaluación de diagnóstico lógico, conexionado y medición de precisión.</w:t>
      </w:r>
    </w:p>
    <w:p>
      <w:pPr>
        <w:spacing w:before="20" w:after="40" w:line="276" w:lineRule="auto"/>
        <w:ind w:left="360"/>
      </w:pPr>
      <w:r>
        <w:rPr>
          <w:b/>
          <w:color w:val="003366"/>
        </w:rPr>
        <w:t xml:space="preserve">• </w:t>
      </w:r>
      <w:r>
        <w:rPr>
          <w:rFonts w:ascii="Calibri" w:hAnsi="Calibri"/>
          <w:color w:val="1A202C"/>
          <w:sz w:val="19"/>
        </w:rPr>
        <w:t>Esquemas de semilleros y aprendizaje continuo en planta.</w:t>
      </w:r>
    </w:p>
    <w:p>
      <w:pPr>
        <w:spacing w:before="20" w:after="40" w:line="276" w:lineRule="auto"/>
        <w:ind w:left="360"/>
      </w:pPr>
      <w:r>
        <w:rPr>
          <w:b/>
          <w:color w:val="003366"/>
        </w:rPr>
        <w:t xml:space="preserve">• </w:t>
      </w:r>
      <w:r>
        <w:rPr>
          <w:rFonts w:ascii="Calibri" w:hAnsi="Calibri"/>
          <w:color w:val="1A202C"/>
          <w:sz w:val="19"/>
        </w:rPr>
        <w:t>El rol del mentor técnico de taller (*Ausbilder*) y la metodología de 4 pasos para la enseñanza de tareas en puesto.</w:t>
      </w:r>
    </w:p>
    <w:p>
      <w:pPr>
        <w:spacing w:before="80" w:after="120" w:line="276" w:lineRule="auto"/>
        <w:ind w:left="360"/>
      </w:pPr>
      <w:r>
        <w:rPr>
          <w:b/>
          <w:color w:val="003366"/>
        </w:rPr>
        <w:t xml:space="preserve">Actividad Formativa Evaluable del Módulo 3 (25 Puntos): </w:t>
      </w:r>
      <w:r>
        <w:rPr>
          <w:i/>
        </w:rPr>
        <w:t>Guía de Evaluación Práctica en Puesto y Matriz de Validación Técnica de Planta bajo el Estándar de Competencias del Técnico Superior (TSU).</w:t>
      </w:r>
    </w:p>
    <w:p>
      <w:pPr>
        <w:keepNext/>
        <w:spacing w:before="220" w:after="80"/>
      </w:pPr>
      <w:r>
        <w:rPr>
          <w:rFonts w:ascii="Calibri" w:hAnsi="Calibri"/>
          <w:b/>
          <w:color w:val="003366"/>
          <w:sz w:val="23"/>
        </w:rPr>
        <w:t>MÓDULO 4: SISTEMATIZACIÓN DE DEMANDAS INDUSTRIALES, ACUERDOS DE VINCULACIÓN Y CLAUSURA</w:t>
        <w:br/>
        <w:t>(Sesión Presencial 2 — 2 Horas en Campus Kinal)</w:t>
      </w:r>
    </w:p>
    <w:p>
      <w:pPr>
        <w:keepNext/>
        <w:spacing w:before="160" w:after="40"/>
      </w:pPr>
      <w:r>
        <w:rPr>
          <w:rFonts w:ascii="Calibri" w:hAnsi="Calibri"/>
          <w:b/>
          <w:color w:val="4A5568"/>
          <w:sz w:val="20"/>
        </w:rPr>
        <w:t>4.1 Mesa Redonda Plenaria: Sistematización de las Necesidades Actuales de la Industria</w:t>
      </w:r>
    </w:p>
    <w:p>
      <w:pPr>
        <w:spacing w:before="20" w:after="40" w:line="276" w:lineRule="auto"/>
        <w:ind w:left="360"/>
      </w:pPr>
      <w:r>
        <w:rPr>
          <w:b/>
          <w:color w:val="003366"/>
        </w:rPr>
        <w:t xml:space="preserve">• </w:t>
      </w:r>
      <w:r>
        <w:rPr>
          <w:rFonts w:ascii="Calibri" w:hAnsi="Calibri"/>
          <w:color w:val="1A202C"/>
          <w:sz w:val="19"/>
        </w:rPr>
        <w:t>Consolidación de las matrices y fichas diagnósticas: qué competencias técnicas y humanas demanda prioritariamente el sector productivo guatemalteco.</w:t>
      </w:r>
    </w:p>
    <w:p>
      <w:pPr>
        <w:spacing w:before="20" w:after="40" w:line="276" w:lineRule="auto"/>
        <w:ind w:left="360"/>
      </w:pPr>
      <w:r>
        <w:rPr>
          <w:b/>
          <w:color w:val="003366"/>
        </w:rPr>
        <w:t xml:space="preserve">• </w:t>
      </w:r>
      <w:r>
        <w:rPr>
          <w:rFonts w:ascii="Calibri" w:hAnsi="Calibri"/>
          <w:color w:val="1A202C"/>
          <w:sz w:val="19"/>
        </w:rPr>
        <w:t>Retroalimentación directa a directores de carrera y autoridades de Kinal para afinar los planes de estudio del nivel Técnico Superior y carreras técnicas.</w:t>
      </w:r>
    </w:p>
    <w:p>
      <w:pPr>
        <w:spacing w:before="20" w:after="40" w:line="276" w:lineRule="auto"/>
        <w:ind w:left="360"/>
      </w:pPr>
      <w:r>
        <w:rPr>
          <w:b/>
          <w:color w:val="003366"/>
        </w:rPr>
        <w:t xml:space="preserve">• </w:t>
      </w:r>
      <w:r>
        <w:rPr>
          <w:rFonts w:ascii="Calibri" w:hAnsi="Calibri"/>
          <w:color w:val="1A202C"/>
          <w:sz w:val="19"/>
        </w:rPr>
        <w:t>Identificación de tecnologías de punta para la modernización curricular y equipamiento de laboratorios.</w:t>
      </w:r>
    </w:p>
    <w:p>
      <w:pPr>
        <w:keepNext/>
        <w:spacing w:before="160" w:after="40"/>
      </w:pPr>
      <w:r>
        <w:rPr>
          <w:rFonts w:ascii="Calibri" w:hAnsi="Calibri"/>
          <w:b/>
          <w:color w:val="4A5568"/>
          <w:sz w:val="20"/>
        </w:rPr>
        <w:t>4.2 Acuerdos de Vinculación y Rutas de Cooperación Kinal-Empresas</w:t>
      </w:r>
    </w:p>
    <w:p>
      <w:pPr>
        <w:spacing w:before="20" w:after="40" w:line="276" w:lineRule="auto"/>
        <w:ind w:left="360"/>
      </w:pPr>
      <w:r>
        <w:rPr>
          <w:b/>
          <w:color w:val="003366"/>
        </w:rPr>
        <w:t xml:space="preserve">• </w:t>
      </w:r>
      <w:r>
        <w:rPr>
          <w:rFonts w:ascii="Calibri" w:hAnsi="Calibri"/>
          <w:color w:val="1A202C"/>
          <w:sz w:val="19"/>
        </w:rPr>
        <w:t>Mecanismos de acceso prioritario y directo a la Bolsa de Egresados y banco de talentos técnicos de Kinal.</w:t>
      </w:r>
    </w:p>
    <w:p>
      <w:pPr>
        <w:spacing w:before="20" w:after="40" w:line="276" w:lineRule="auto"/>
        <w:ind w:left="360"/>
      </w:pPr>
      <w:r>
        <w:rPr>
          <w:b/>
          <w:color w:val="003366"/>
        </w:rPr>
        <w:t xml:space="preserve">• </w:t>
      </w:r>
      <w:r>
        <w:rPr>
          <w:rFonts w:ascii="Calibri" w:hAnsi="Calibri"/>
          <w:color w:val="1A202C"/>
          <w:sz w:val="19"/>
        </w:rPr>
        <w:t>Oportunidades de convenios de semilleros técnicos, pasantías y formación dual escuela-empresa.</w:t>
      </w:r>
    </w:p>
    <w:p>
      <w:pPr>
        <w:spacing w:before="20" w:after="40" w:line="276" w:lineRule="auto"/>
        <w:ind w:left="360"/>
      </w:pPr>
      <w:r>
        <w:rPr>
          <w:b/>
          <w:color w:val="003366"/>
        </w:rPr>
        <w:t xml:space="preserve">• </w:t>
      </w:r>
      <w:r>
        <w:rPr>
          <w:rFonts w:ascii="Calibri" w:hAnsi="Calibri"/>
          <w:color w:val="1A202C"/>
          <w:sz w:val="19"/>
        </w:rPr>
        <w:t>Certificación y acreditación de competencias laborales para colaboradores de planta en instalaciones de Kinal.</w:t>
      </w:r>
    </w:p>
    <w:p>
      <w:pPr>
        <w:keepNext/>
        <w:spacing w:before="160" w:after="40"/>
      </w:pPr>
      <w:r>
        <w:rPr>
          <w:rFonts w:ascii="Calibri" w:hAnsi="Calibri"/>
          <w:b/>
          <w:color w:val="4A5568"/>
          <w:sz w:val="20"/>
        </w:rPr>
        <w:t>4.3 Acto Solemne de Clausura y Entrega de Distinciones Institucionales</w:t>
      </w:r>
    </w:p>
    <w:p>
      <w:pPr>
        <w:spacing w:before="20" w:after="40" w:line="276" w:lineRule="auto"/>
        <w:ind w:left="360"/>
      </w:pPr>
      <w:r>
        <w:rPr>
          <w:b/>
          <w:color w:val="003366"/>
        </w:rPr>
        <w:t xml:space="preserve">• </w:t>
      </w:r>
      <w:r>
        <w:rPr>
          <w:rFonts w:ascii="Calibri" w:hAnsi="Calibri"/>
          <w:color w:val="1A202C"/>
          <w:sz w:val="19"/>
        </w:rPr>
        <w:t>Entrega de Diplomas de Participación Individual a los representantes empresariales.</w:t>
      </w:r>
    </w:p>
    <w:p>
      <w:pPr>
        <w:spacing w:before="20" w:after="40" w:line="276" w:lineRule="auto"/>
        <w:ind w:left="360"/>
      </w:pPr>
      <w:r>
        <w:rPr>
          <w:b/>
          <w:color w:val="003366"/>
        </w:rPr>
        <w:t xml:space="preserve">• </w:t>
      </w:r>
      <w:r>
        <w:rPr>
          <w:rFonts w:ascii="Calibri" w:hAnsi="Calibri"/>
          <w:color w:val="1A202C"/>
          <w:sz w:val="19"/>
        </w:rPr>
        <w:t>Entrega de Reconocimientos Empresariales Especiales a las empresas participantes como socias estratégicas de la educación técnica.</w:t>
      </w:r>
    </w:p>
    <w:p>
      <w:pPr>
        <w:spacing w:before="20" w:after="40" w:line="276" w:lineRule="auto"/>
        <w:ind w:left="360"/>
      </w:pPr>
      <w:r>
        <w:rPr>
          <w:b/>
          <w:color w:val="003366"/>
        </w:rPr>
        <w:t xml:space="preserve">• </w:t>
      </w:r>
      <w:r>
        <w:rPr>
          <w:rFonts w:ascii="Calibri" w:hAnsi="Calibri"/>
          <w:color w:val="1A202C"/>
          <w:sz w:val="19"/>
        </w:rPr>
        <w:t>Brindis de honor y networking directivo de vinculación.</w:t>
      </w:r>
    </w:p>
    <w:p>
      <w:pPr>
        <w:spacing w:before="80" w:after="120" w:line="276" w:lineRule="auto"/>
        <w:ind w:left="360"/>
      </w:pPr>
      <w:r>
        <w:rPr>
          <w:b/>
          <w:color w:val="003366"/>
        </w:rPr>
        <w:t xml:space="preserve">Actividad Formativa Evaluable del Módulo 4 (25 Puntos): </w:t>
      </w:r>
      <w:r>
        <w:rPr>
          <w:i/>
        </w:rPr>
        <w:t>Sustentación Plenaria de la Ficha Diagnóstica Empresarial y Firma de Acuerdos de Vinculación, culminando con la entrega de diplomas y reconocimientos.</w:t>
      </w:r>
    </w:p>
    <w:p>
      <w:pPr>
        <w:keepNext/>
        <w:spacing w:before="280" w:after="120"/>
      </w:pPr>
      <w:r>
        <w:rPr>
          <w:rFonts w:ascii="Calibri" w:hAnsi="Calibri"/>
          <w:b/>
          <w:color w:val="003366"/>
          <w:sz w:val="28"/>
        </w:rPr>
        <w:t>3. Fuentes Bibliográficas y Documentos de Apoyo</w:t>
      </w:r>
    </w:p>
    <w:p>
      <w:pPr>
        <w:spacing w:before="20" w:after="40" w:line="276" w:lineRule="auto"/>
        <w:ind w:left="288"/>
      </w:pPr>
      <w:r>
        <w:rPr>
          <w:rFonts w:ascii="Calibri" w:hAnsi="Calibri"/>
          <w:b/>
          <w:color w:val="003366"/>
          <w:sz w:val="18"/>
        </w:rPr>
        <w:t xml:space="preserve">• BIBB / DQR: </w:t>
      </w:r>
      <w:r>
        <w:rPr>
          <w:rFonts w:ascii="Calibri" w:hAnsi="Calibri"/>
          <w:color w:val="1A202C"/>
          <w:sz w:val="18"/>
        </w:rPr>
        <w:t>German Qualifications Framework for Lifelong Learning (DQR) — Competencias y Formación Técnica Aplicada a Nivel Superior.</w:t>
      </w:r>
    </w:p>
    <w:p>
      <w:pPr>
        <w:spacing w:before="20" w:after="40" w:line="276" w:lineRule="auto"/>
        <w:ind w:left="288"/>
      </w:pPr>
      <w:r>
        <w:rPr>
          <w:rFonts w:ascii="Calibri" w:hAnsi="Calibri"/>
          <w:b/>
          <w:color w:val="003366"/>
          <w:sz w:val="18"/>
        </w:rPr>
        <w:t xml:space="preserve">• OIT / Cinterfor: </w:t>
      </w:r>
      <w:r>
        <w:rPr>
          <w:rFonts w:ascii="Calibri" w:hAnsi="Calibri"/>
          <w:color w:val="1A202C"/>
          <w:sz w:val="18"/>
        </w:rPr>
        <w:t>Formación Profesional y Vinculación Escuela-Empresa en América Latina: Diálogo Social y Validación de Competencias Técnicas.</w:t>
      </w:r>
    </w:p>
    <w:p>
      <w:pPr>
        <w:spacing w:before="20" w:after="40" w:line="276" w:lineRule="auto"/>
        <w:ind w:left="288"/>
      </w:pPr>
      <w:r>
        <w:rPr>
          <w:rFonts w:ascii="Calibri" w:hAnsi="Calibri"/>
          <w:b/>
          <w:color w:val="003366"/>
          <w:sz w:val="18"/>
        </w:rPr>
        <w:t xml:space="preserve">• Fundación Kinal: </w:t>
      </w:r>
      <w:r>
        <w:rPr>
          <w:rFonts w:ascii="Calibri" w:hAnsi="Calibri"/>
          <w:color w:val="1A202C"/>
          <w:sz w:val="18"/>
        </w:rPr>
        <w:t>Ideario Institucional: El Trabajo como Vocación y Servicio a la Persona Humana.</w:t>
      </w:r>
    </w:p>
    <w:p>
      <w:pPr>
        <w:spacing w:before="20" w:after="40" w:line="276" w:lineRule="auto"/>
        <w:ind w:left="288"/>
      </w:pPr>
      <w:r>
        <w:rPr>
          <w:rFonts w:ascii="Calibri" w:hAnsi="Calibri"/>
          <w:b/>
          <w:color w:val="003366"/>
          <w:sz w:val="18"/>
        </w:rPr>
        <w:t xml:space="preserve">• Fundación Kinal: </w:t>
      </w:r>
      <w:r>
        <w:rPr>
          <w:rFonts w:ascii="Calibri" w:hAnsi="Calibri"/>
          <w:color w:val="1A202C"/>
          <w:sz w:val="18"/>
        </w:rPr>
        <w:t>Manual de Factor Humano: Liderazgo y Trabajo Bien Hecho en Cuadrillas Técnicas.</w:t>
      </w:r>
    </w:p>
    <w:p>
      <w:pPr>
        <w:spacing w:before="20" w:after="40" w:line="276" w:lineRule="auto"/>
        <w:ind w:left="288"/>
      </w:pPr>
      <w:r>
        <w:rPr>
          <w:rFonts w:ascii="Calibri" w:hAnsi="Calibri"/>
          <w:b/>
          <w:color w:val="003366"/>
          <w:sz w:val="18"/>
        </w:rPr>
        <w:t xml:space="preserve">• Fundación Kinal: </w:t>
      </w:r>
      <w:r>
        <w:rPr>
          <w:rFonts w:ascii="Calibri" w:hAnsi="Calibri"/>
          <w:color w:val="1A202C"/>
          <w:sz w:val="18"/>
        </w:rPr>
        <w:t>Marco Curricular y Estándares del Técnico Superior Universitario (TSU): Validación de Competencias y Pertinencia Industrial.</w:t>
      </w:r>
    </w:p>
    <w:sectPr w:rsidR="00FC693F" w:rsidRPr="0006063C" w:rsidSect="00034616">
      <w:footerReference w:type="default" r:id="rId9"/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76" w:lineRule="auto"/>
      <w:jc w:val="right"/>
    </w:pPr>
    <w:r>
      <w:rPr>
        <w:rFonts w:ascii="Calibri" w:hAnsi="Calibri"/>
        <w:color w:val="4A5568"/>
        <w:sz w:val="17"/>
      </w:rPr>
      <w:t>Fundación Kinal | Programa Ejecutivo de Vinculación y Liderazgo — Temario Oficial (8 Horas)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