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69135D23" w:rsidR="0052312B" w:rsidRDefault="0052312B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Divirta-se: </w:t>
      </w:r>
      <w:r w:rsidR="00DE5303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D</w:t>
      </w: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escubra como jogar </w:t>
      </w:r>
      <w:proofErr w:type="spellStart"/>
      <w:r w:rsidR="00746D20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Prog-poly</w:t>
      </w:r>
      <w:proofErr w:type="spellEnd"/>
    </w:p>
    <w:p w14:paraId="26E90526" w14:textId="77777777" w:rsidR="00A26056" w:rsidRPr="007C1A24" w:rsidRDefault="00A26056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</w:p>
    <w:p w14:paraId="0E24CC8B" w14:textId="30EC07C7" w:rsidR="0052312B" w:rsidRPr="007C1A24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começar a 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jogar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4C7AA57" w14:textId="7699DA43" w:rsidR="0052312B" w:rsidRDefault="00134851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8B3AEB" wp14:editId="4D14AA7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866775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0888" y="21227"/>
                <wp:lineTo x="20888" y="0"/>
                <wp:lineTo x="0" y="0"/>
              </wp:wrapPolygon>
            </wp:wrapTight>
            <wp:docPr id="6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3" t="8115" r="10735"/>
                    <a:stretch/>
                  </pic:blipFill>
                  <pic:spPr bwMode="auto">
                    <a:xfrm>
                      <a:off x="0" y="0"/>
                      <a:ext cx="867372" cy="10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a jogar é necessário reunir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2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à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0186B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quando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os jogadores estiverem prontos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, cada um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joga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AD0F1C">
        <w:rPr>
          <w:rFonts w:ascii="Helvetica" w:eastAsia="Times New Roman" w:hAnsi="Helvetica" w:cs="Helvetica"/>
          <w:sz w:val="20"/>
          <w:szCs w:val="20"/>
          <w:lang w:eastAsia="pt-BR"/>
        </w:rPr>
        <w:t>á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o dado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que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tirar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maior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número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começa, os outros jogadores continuarão depois dele seguindo o sentido horário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 El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escolhem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seus p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i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ões, colocando-os no ponto de partida.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é só embaralhar as cartas de Sorte e Revés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 coloca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-los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de cabeça para baixo no local indicado, no centro do tabuleiro. Em seguida, é hora de distribuir o "dinheir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"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cada jogador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52312B">
        <w:rPr>
          <w:rFonts w:ascii="Helvetica" w:eastAsia="Times New Roman" w:hAnsi="Helvetica" w:cs="Helvetica"/>
          <w:sz w:val="20"/>
          <w:szCs w:val="20"/>
          <w:lang w:eastAsia="pt-BR"/>
        </w:rPr>
        <w:t>10 de R$ 10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banco. Somente uma pessoa pode ser o banqueiro</w:t>
      </w:r>
      <w:r w:rsidR="007D3E2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3B1AC7E6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3657D69" w14:textId="5E810C1E" w:rsidR="00A23297" w:rsidRDefault="006D3667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Perguntas</w:t>
      </w:r>
      <w:r w:rsidR="00A23297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11190C6C" w14:textId="7E91B8CA" w:rsidR="00375D9F" w:rsidRDefault="0070538B" w:rsidP="00B05859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70538B">
        <w:rPr>
          <w:noProof/>
        </w:rPr>
        <w:drawing>
          <wp:anchor distT="0" distB="0" distL="114300" distR="114300" simplePos="0" relativeHeight="251660288" behindDoc="1" locked="0" layoutInCell="1" allowOverlap="1" wp14:anchorId="56C70309" wp14:editId="4F959AC7">
            <wp:simplePos x="0" y="0"/>
            <wp:positionH relativeFrom="column">
              <wp:posOffset>24765</wp:posOffset>
            </wp:positionH>
            <wp:positionV relativeFrom="paragraph">
              <wp:posOffset>11430</wp:posOffset>
            </wp:positionV>
            <wp:extent cx="8001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086" y="21159"/>
                <wp:lineTo x="2108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6" t="8265" r="17969" b="10744"/>
                    <a:stretch/>
                  </pic:blipFill>
                  <pic:spPr bwMode="auto"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a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pião 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até o </w:t>
      </w:r>
      <w:r w:rsidR="006D3667" w:rsidRPr="0052312B">
        <w:rPr>
          <w:rFonts w:ascii="Helvetica" w:eastAsia="Times New Roman" w:hAnsi="Helvetica" w:cs="Helvetica"/>
          <w:sz w:val="20"/>
          <w:szCs w:val="20"/>
          <w:lang w:eastAsia="pt-BR"/>
        </w:rPr>
        <w:t>número de casas determinado pelo resultado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</w:t>
      </w:r>
      <w:r w:rsidR="00314C68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companhia, o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314C68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, se errar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não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poderá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realizar compras.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 C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caia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casa que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não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seja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ou companhia não deve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>responder as perguntas.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Cada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pergunta </w:t>
      </w:r>
      <w:r w:rsidR="000A4BFC">
        <w:rPr>
          <w:rFonts w:ascii="Helvetica" w:eastAsia="Times New Roman" w:hAnsi="Helvetica" w:cs="Helvetica"/>
          <w:sz w:val="20"/>
          <w:szCs w:val="20"/>
          <w:lang w:eastAsia="pt-BR"/>
        </w:rPr>
        <w:t>deve ser lida em voz alta para todos jogadores apreenderem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e deve ser respondida no máximo </w:t>
      </w:r>
      <w:r w:rsidR="000A4BFC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>30 segundos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0A4BFC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ultrapasse o tempo será considerado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compras.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os jogadores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adversário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ir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conferir se quem respondeu acertou,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>o jogador que responde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poderá 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conferir o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gabarito 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depois que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>responder.</w:t>
      </w:r>
    </w:p>
    <w:p w14:paraId="243003CD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6ADEAE22" w14:textId="49FD3206" w:rsidR="0052312B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Funcionamento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d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o jogo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055DA05C" w14:textId="77777777" w:rsidR="00ED07A0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O funcionamento do jogo é simples: cada um joga o dado em sua vez, percorre o número de casas determinado pelo resultado e cumpre as ordens da casa em que cair.</w:t>
      </w:r>
    </w:p>
    <w:p w14:paraId="7BCB4915" w14:textId="371C591B" w:rsidR="0052312B" w:rsidRPr="0052312B" w:rsidRDefault="00ED07A0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Jogar no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 xml:space="preserve">vamente: poderá jogar novamente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quem tirar uma dupla (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 cada volta completa,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passar pelo início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ganha R$ 200 como honorários.</w:t>
      </w:r>
    </w:p>
    <w:p w14:paraId="40BF98D9" w14:textId="610E9322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>uma empresa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poderá comprá-los do banqueiro, pagando o preço indicado no tabuleiro. A partir daí, começam a surgir as surpresas! Você tem que pagar impostos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sobre o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 porcentagem de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dinheiro que possui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200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lucrar, tirar cartas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Sorte e Revés e até ir para a prisão.</w:t>
      </w:r>
    </w:p>
    <w:p w14:paraId="072F5A05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1579E2B" w14:textId="2EB731A4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cai na prisão do </w:t>
      </w:r>
      <w:r w:rsidR="00E538A4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?</w:t>
      </w:r>
    </w:p>
    <w:p w14:paraId="695B8939" w14:textId="16F3B16F" w:rsidR="0052312B" w:rsidRDefault="00C84949" w:rsidP="00C84949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5022753" wp14:editId="7001346F">
            <wp:simplePos x="0" y="0"/>
            <wp:positionH relativeFrom="margin">
              <wp:align>left</wp:align>
            </wp:positionH>
            <wp:positionV relativeFrom="paragraph">
              <wp:posOffset>86971</wp:posOffset>
            </wp:positionV>
            <wp:extent cx="967740" cy="962025"/>
            <wp:effectExtent l="0" t="0" r="3810" b="9525"/>
            <wp:wrapTight wrapText="bothSides">
              <wp:wrapPolygon edited="0">
                <wp:start x="0" y="0"/>
                <wp:lineTo x="0" y="21386"/>
                <wp:lineTo x="21260" y="21386"/>
                <wp:lineTo x="21260" y="0"/>
                <wp:lineTo x="0" y="0"/>
              </wp:wrapPolygon>
            </wp:wrapTight>
            <wp:docPr id="1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78249677-6E39-4648-A69F-68242E885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8249677-6E39-4648-A69F-68242E885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ou você cai </w:t>
      </w:r>
      <w:r w:rsidR="00233A9C" w:rsidRPr="0052312B">
        <w:rPr>
          <w:rFonts w:ascii="Helvetica" w:eastAsia="Times New Roman" w:hAnsi="Helvetica" w:cs="Helvetica"/>
          <w:sz w:val="20"/>
          <w:szCs w:val="20"/>
          <w:lang w:eastAsia="pt-BR"/>
        </w:rPr>
        <w:t>na casa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“VÁ PARA A PRISÃO” ou tira 3 duplas seguidas</w:t>
      </w:r>
      <w:r w:rsidR="00C804D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(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ou com uma carta de revés que o mande para prisão.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sair, o jogador tenta tirar uma dupla 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durante </w:t>
      </w:r>
      <w:r w:rsidR="00DB290E">
        <w:rPr>
          <w:rFonts w:ascii="Helvetica" w:eastAsia="Times New Roman" w:hAnsi="Helvetica" w:cs="Helvetica"/>
          <w:sz w:val="20"/>
          <w:szCs w:val="20"/>
          <w:lang w:eastAsia="pt-BR"/>
        </w:rPr>
        <w:t>2º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rodadas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Não conseguiu? </w:t>
      </w:r>
      <w:r w:rsidR="00DB290E">
        <w:rPr>
          <w:rFonts w:ascii="Helvetica" w:eastAsia="Times New Roman" w:hAnsi="Helvetica" w:cs="Helvetica"/>
          <w:sz w:val="20"/>
          <w:szCs w:val="20"/>
          <w:lang w:eastAsia="pt-BR"/>
        </w:rPr>
        <w:t xml:space="preserve">Se na 3º rodada não tirar uma dupla nos dados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caso não tenha dinheiro </w:t>
      </w:r>
      <w:r w:rsidR="00DB290E">
        <w:rPr>
          <w:rFonts w:ascii="Helvetica" w:eastAsia="Times New Roman" w:hAnsi="Helvetica" w:cs="Helvetica"/>
          <w:sz w:val="20"/>
          <w:szCs w:val="20"/>
          <w:lang w:eastAsia="pt-BR"/>
        </w:rPr>
        <w:t>poderá hipotecar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propriedade para sair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022DC950" w14:textId="3190C127" w:rsidR="00746D20" w:rsidRDefault="00746D20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94ECCC4" w14:textId="77777777" w:rsidR="00746D20" w:rsidRDefault="00746D20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bookmarkStart w:id="0" w:name="_GoBack"/>
      <w:bookmarkEnd w:id="0"/>
    </w:p>
    <w:p w14:paraId="2C704E25" w14:textId="1D6F70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573A3D80" w14:textId="70564125" w:rsidR="00C84949" w:rsidRDefault="00C849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80E2CFE" w14:textId="77777777" w:rsidR="00C84949" w:rsidRDefault="00C849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7AC32FC" w14:textId="47CA346F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lastRenderedPageBreak/>
        <w:t xml:space="preserve">Como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acrescentar colaboradores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e negociar propriedades no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42CE13D" w14:textId="44524797" w:rsidR="0052312B" w:rsidRPr="0052312B" w:rsidRDefault="00BA272F" w:rsidP="0070538B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7C970B50" wp14:editId="74F97F89">
            <wp:simplePos x="0" y="0"/>
            <wp:positionH relativeFrom="margin">
              <wp:posOffset>43815</wp:posOffset>
            </wp:positionH>
            <wp:positionV relativeFrom="paragraph">
              <wp:posOffset>137795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" name="Imagem 3" descr="Resultado de imagem para pessoas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ssoas ic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s ou companhias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da mesma cor. Ao fazer isso, você poderá, então, </w:t>
      </w:r>
      <w:r w:rsidR="0071451A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8C9A604" w14:textId="43D7436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você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 xml:space="preserve">4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 tendo construído, n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construir 1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 O mesmo vale para a terceir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quart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>colaborador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ok?</w:t>
      </w:r>
    </w:p>
    <w:p w14:paraId="1AF2E4E3" w14:textId="3721569A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cair em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não possua nenhum colaborador só será paga a diária do colaborador. </w:t>
      </w:r>
      <w:r w:rsidR="006B1091" w:rsidRPr="0052312B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fazer o dinheiro circular no jogo. Ah, e negociações são permitidas! Você pode vender ou trocar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entre si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>, quando for sua vez de jogar poderá tentar comprar ou vender para outros jogadores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! Outras operações que podem rolar são o resgate de hipotecas e negociação entre elas, conforme as regras oficiais.</w:t>
      </w:r>
    </w:p>
    <w:p w14:paraId="1CE58252" w14:textId="77777777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3438E7C" w14:textId="2C56DEA2" w:rsidR="0052312B" w:rsidRPr="007C1A24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Como termina o jogo!</w:t>
      </w:r>
    </w:p>
    <w:p w14:paraId="01BE29D4" w14:textId="4195761E" w:rsidR="0052312B" w:rsidRPr="0052312B" w:rsidRDefault="00134851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5B80D2" wp14:editId="630FA2FA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17919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286" y="20925"/>
                <wp:lineTo x="21286" y="0"/>
                <wp:lineTo x="0" y="0"/>
              </wp:wrapPolygon>
            </wp:wrapTight>
            <wp:docPr id="8" name="Imagem 8" descr="Resultado de imagem para finish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finish icon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0" b="28949"/>
                    <a:stretch/>
                  </pic:blipFill>
                  <pic:spPr bwMode="auto">
                    <a:xfrm>
                      <a:off x="0" y="0"/>
                      <a:ext cx="11791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57C4371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</w:p>
    <w:p w14:paraId="1D81BA2F" w14:textId="2BC53ADD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86FF72B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4D04E3B" w14:textId="6271142D" w:rsidR="0052312B" w:rsidRPr="007C1A24" w:rsidRDefault="008C47F9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O Jogo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, como ele nos ajuda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A517861" w14:textId="10FAB950" w:rsidR="00DE5303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 </w:t>
      </w:r>
    </w:p>
    <w:p w14:paraId="1655E6E8" w14:textId="56C2E06A" w:rsidR="0052312B" w:rsidRPr="0052312B" w:rsidRDefault="00DE5303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linguagem de </w:t>
      </w:r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programação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seus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requisitos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desafios.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tilizando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proofErr w:type="spellStart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você irá f</w:t>
      </w:r>
      <w:r w:rsidR="0020419D" w:rsidRP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amiliarize-se com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os conceitos para se tornar um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programador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 c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om um pouco de paciência, o jogo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também ensina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educação financeira,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 o ajudara a apreender como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importante planejar e investir corretamente. O banqueiro pode também exercer a função de líder do grupo, organizando o jogo e fazendo as relações funcionarem mais tranquilamente.</w:t>
      </w:r>
    </w:p>
    <w:p w14:paraId="788811F8" w14:textId="71AD7748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mais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o jogo oferece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F8F79AA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7264012" w14:textId="1DAD2789" w:rsidR="0043315B" w:rsidRDefault="007E29E2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Q</w:t>
      </w:r>
      <w:r w:rsidR="00BB47E8" w:rsidRPr="007C1A24">
        <w:rPr>
          <w:rFonts w:ascii="inherit" w:eastAsia="Times New Roman" w:hAnsi="inherit" w:cs="Helvetica"/>
          <w:sz w:val="40"/>
          <w:szCs w:val="40"/>
          <w:lang w:eastAsia="pt-BR"/>
        </w:rPr>
        <w:t>uantidade total de Cartas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2DD4502" w14:textId="63408BF2" w:rsidR="00F80724" w:rsidRDefault="00BB47E8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Dinheiro: possui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>R$ 10,</w:t>
      </w:r>
      <w:r w:rsidR="00A65F96" w:rsidRP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0,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134851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054DABF9" w14:textId="27A88262" w:rsidR="00BB47E8" w:rsidRPr="0052312B" w:rsidRDefault="00134851" w:rsidP="00F83A86">
      <w:pPr>
        <w:shd w:val="clear" w:color="auto" w:fill="FFFFFF"/>
        <w:spacing w:after="0" w:line="240" w:lineRule="auto"/>
        <w:jc w:val="both"/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cartões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pares, 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impares,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6 piões, 2 dados, 1 tabuleiro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sectPr w:rsidR="00BB47E8" w:rsidRPr="0052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A4BFC"/>
    <w:rsid w:val="000E538E"/>
    <w:rsid w:val="00134851"/>
    <w:rsid w:val="001C2351"/>
    <w:rsid w:val="0020419D"/>
    <w:rsid w:val="00233A9C"/>
    <w:rsid w:val="0030186B"/>
    <w:rsid w:val="00314C68"/>
    <w:rsid w:val="0034661B"/>
    <w:rsid w:val="00375D9F"/>
    <w:rsid w:val="003B26AF"/>
    <w:rsid w:val="003C3AF3"/>
    <w:rsid w:val="003E4108"/>
    <w:rsid w:val="003F4947"/>
    <w:rsid w:val="0043315B"/>
    <w:rsid w:val="00472EBB"/>
    <w:rsid w:val="00484E62"/>
    <w:rsid w:val="004D52AA"/>
    <w:rsid w:val="0052312B"/>
    <w:rsid w:val="005B3581"/>
    <w:rsid w:val="00625DC5"/>
    <w:rsid w:val="00630449"/>
    <w:rsid w:val="00651D4B"/>
    <w:rsid w:val="00675008"/>
    <w:rsid w:val="006A2A64"/>
    <w:rsid w:val="006A4490"/>
    <w:rsid w:val="006B1091"/>
    <w:rsid w:val="006D3667"/>
    <w:rsid w:val="0070538B"/>
    <w:rsid w:val="0071451A"/>
    <w:rsid w:val="00746D20"/>
    <w:rsid w:val="00764ED3"/>
    <w:rsid w:val="007C1A24"/>
    <w:rsid w:val="007C3051"/>
    <w:rsid w:val="007D3E24"/>
    <w:rsid w:val="007E29E2"/>
    <w:rsid w:val="00857305"/>
    <w:rsid w:val="008A40D9"/>
    <w:rsid w:val="008C47F9"/>
    <w:rsid w:val="0096681A"/>
    <w:rsid w:val="009E7924"/>
    <w:rsid w:val="00A12E0D"/>
    <w:rsid w:val="00A23297"/>
    <w:rsid w:val="00A26056"/>
    <w:rsid w:val="00A65F96"/>
    <w:rsid w:val="00AD0F1C"/>
    <w:rsid w:val="00B05859"/>
    <w:rsid w:val="00BA272F"/>
    <w:rsid w:val="00BB47E8"/>
    <w:rsid w:val="00C804D8"/>
    <w:rsid w:val="00C84949"/>
    <w:rsid w:val="00CC46A9"/>
    <w:rsid w:val="00DB290E"/>
    <w:rsid w:val="00DE5303"/>
    <w:rsid w:val="00DE7FAF"/>
    <w:rsid w:val="00E0475D"/>
    <w:rsid w:val="00E2676C"/>
    <w:rsid w:val="00E34880"/>
    <w:rsid w:val="00E538A4"/>
    <w:rsid w:val="00ED07A0"/>
    <w:rsid w:val="00EE06B7"/>
    <w:rsid w:val="00F80724"/>
    <w:rsid w:val="00F83A86"/>
    <w:rsid w:val="00F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2</cp:revision>
  <cp:lastPrinted>2019-02-28T02:19:00Z</cp:lastPrinted>
  <dcterms:created xsi:type="dcterms:W3CDTF">2019-03-11T01:45:00Z</dcterms:created>
  <dcterms:modified xsi:type="dcterms:W3CDTF">2019-03-11T01:45:00Z</dcterms:modified>
</cp:coreProperties>
</file>