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Universidad Nacional Autónoma de México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Temas Selectos de Ingeniería en Computación III 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CCNP </w:t>
      </w:r>
    </w:p>
    <w:p w:rsidR="00000000" w:rsidDel="00000000" w:rsidP="00000000" w:rsidRDefault="00000000" w:rsidRPr="00000000" w14:paraId="00000004">
      <w:pPr>
        <w:spacing w:line="276" w:lineRule="auto"/>
        <w:rPr>
          <w:color w:val="666666"/>
          <w:sz w:val="18"/>
          <w:szCs w:val="18"/>
        </w:rPr>
      </w:pP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Nombre: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___________________________________________________</w:t>
        <w:tab/>
      </w: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Fecha: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 _________________</w:t>
      </w:r>
    </w:p>
    <w:p w:rsidR="00000000" w:rsidDel="00000000" w:rsidP="00000000" w:rsidRDefault="00000000" w:rsidRPr="00000000" w14:paraId="00000005">
      <w:pPr>
        <w:spacing w:line="276" w:lineRule="auto"/>
        <w:rPr>
          <w:color w:val="666666"/>
          <w:sz w:val="18"/>
          <w:szCs w:val="18"/>
        </w:rPr>
      </w:pP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Número cuenta: 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________________</w:t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Comfortaa" w:cs="Comfortaa" w:eastAsia="Comfortaa" w:hAnsi="Comfortaa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omfortaa" w:cs="Comfortaa" w:eastAsia="Comfortaa" w:hAnsi="Comfortaa"/>
          <w:b w:val="1"/>
          <w:color w:val="4a86e8"/>
          <w:sz w:val="15"/>
          <w:szCs w:val="15"/>
        </w:rPr>
        <w:sectPr>
          <w:headerReference r:id="rId6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5"/>
          <w:szCs w:val="15"/>
          <w:rtl w:val="0"/>
        </w:rPr>
        <w:t xml:space="preserve">Realiza el siguiente crucigrama respondiendo correctamente: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Comfortaa" w:cs="Comfortaa" w:eastAsia="Comfortaa" w:hAnsi="Comfortaa"/>
          <w:color w:val="434343"/>
          <w:sz w:val="15"/>
          <w:szCs w:val="15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.- Nombre del intervalo de tiempo contrario al hello  en OSPF, dura 40seg..</w:t>
      </w:r>
    </w:p>
    <w:p w:rsidR="00000000" w:rsidDel="00000000" w:rsidP="00000000" w:rsidRDefault="00000000" w:rsidRPr="00000000" w14:paraId="0000000A">
      <w:pPr>
        <w:spacing w:line="276" w:lineRule="auto"/>
        <w:ind w:left="0" w:firstLine="0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5.- Es el tipo de topología en OSPF donde no hay router designado.</w:t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9.- Con el comando “#sh  Ip route”  muestra _________ cuando un segmento de red es conocido por redistribución en </w:t>
        <w:tab/>
        <w:t xml:space="preserve">OSPF.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10.- Es la métrica de OSPF.</w:t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12.- En EIGRP la distancia administrativa de 90 es para un sistema autónomo ______________.</w:t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14.- La _____________ de EIGRP está determinada por una fórmula que depende de 5 valores K.</w:t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rFonts w:ascii="Comfortaa" w:cs="Comfortaa" w:eastAsia="Comfortaa" w:hAnsi="Comfortaa"/>
          <w:b w:val="1"/>
          <w:color w:val="4a86e8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2.- K1 en la distancia factible representa.</w:t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3.- Tipo de Link state  que hablan los router frontera.</w:t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4. Se define como el tiempo que tardan los routers en compartir su tabla de enrutamiento.</w:t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6.- Con el comando # sh ip eigrp __________ se observan la información de los sucesores.</w:t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7.- En EIGRP podemos observar la tabla de enrutamiento, vecinos y _________.</w:t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8.- Número de la prioridad que indica que no hay router designado.</w:t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11.- K3 en la distancia factible representa.</w:t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13- El comando #sh Ip route muestra las letras _________ cuando se conocen segmentos de OSPF de otra área.</w:t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15.- Tipo de link state en OSPF que hablan todos los routers de la misma área.</w:t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Comfortaa" w:cs="Comfortaa" w:eastAsia="Comfortaa" w:hAnsi="Comfortaa"/>
          <w:color w:val="434343"/>
          <w:sz w:val="15"/>
          <w:szCs w:val="15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345"/>
        <w:gridCol w:w="555"/>
        <w:gridCol w:w="465"/>
        <w:gridCol w:w="630"/>
        <w:gridCol w:w="510"/>
        <w:gridCol w:w="480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600"/>
        <w:tblGridChange w:id="0">
          <w:tblGrid>
            <w:gridCol w:w="480"/>
            <w:gridCol w:w="345"/>
            <w:gridCol w:w="555"/>
            <w:gridCol w:w="465"/>
            <w:gridCol w:w="630"/>
            <w:gridCol w:w="510"/>
            <w:gridCol w:w="480"/>
            <w:gridCol w:w="495"/>
            <w:gridCol w:w="495"/>
            <w:gridCol w:w="495"/>
            <w:gridCol w:w="495"/>
            <w:gridCol w:w="495"/>
            <w:gridCol w:w="495"/>
            <w:gridCol w:w="495"/>
            <w:gridCol w:w="495"/>
            <w:gridCol w:w="495"/>
            <w:gridCol w:w="495"/>
            <w:gridCol w:w="600"/>
          </w:tblGrid>
        </w:tblGridChange>
      </w:tblGrid>
      <w:tr>
        <w:trPr>
          <w:trHeight w:val="45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¹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²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³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0"/>
                <w:szCs w:val="20"/>
                <w:rtl w:val="0"/>
              </w:rPr>
              <w:t xml:space="preserve">⁴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rtl w:val="0"/>
              </w:rPr>
              <w:t xml:space="preserve">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4"/>
                <w:szCs w:val="24"/>
                <w:rtl w:val="0"/>
              </w:rPr>
              <w:t xml:space="preserve">⁶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0"/>
                <w:szCs w:val="20"/>
                <w:rtl w:val="0"/>
              </w:rPr>
              <w:t xml:space="preserve">⁷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4"/>
                <w:szCs w:val="24"/>
                <w:rtl w:val="0"/>
              </w:rPr>
              <w:t xml:space="preserve">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4"/>
                <w:szCs w:val="24"/>
                <w:rtl w:val="0"/>
              </w:rPr>
              <w:t xml:space="preserve">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6"/>
                <w:szCs w:val="16"/>
                <w:rtl w:val="0"/>
              </w:rPr>
              <w:t xml:space="preserve">¹º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6"/>
                <w:szCs w:val="16"/>
                <w:rtl w:val="0"/>
              </w:rPr>
              <w:t xml:space="preserve">¹¹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6"/>
                <w:szCs w:val="16"/>
                <w:rtl w:val="0"/>
              </w:rPr>
              <w:t xml:space="preserve">¹²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8"/>
                <w:szCs w:val="18"/>
                <w:rtl w:val="0"/>
              </w:rPr>
              <w:t xml:space="preserve">¹³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18"/>
                <w:szCs w:val="18"/>
                <w:rtl w:val="0"/>
              </w:rPr>
              <w:t xml:space="preserve">¹⁴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4"/>
                <w:szCs w:val="24"/>
                <w:rtl w:val="0"/>
              </w:rPr>
              <w:t xml:space="preserve">¹⁵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spacing w:line="276" w:lineRule="auto"/>
        <w:jc w:val="both"/>
        <w:rPr>
          <w:rFonts w:ascii="Comfortaa" w:cs="Comfortaa" w:eastAsia="Comfortaa" w:hAnsi="Comfortaa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rPr>
        <w:rFonts w:ascii="Nunito" w:cs="Nunito" w:eastAsia="Nunito" w:hAnsi="Nunito"/>
        <w:b w:val="1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sz w:val="18"/>
        <w:szCs w:val="18"/>
        <w:rtl w:val="0"/>
      </w:rPr>
      <w:t xml:space="preserve">Elaborado por: </w:t>
    </w:r>
  </w:p>
  <w:p w:rsidR="00000000" w:rsidDel="00000000" w:rsidP="00000000" w:rsidRDefault="00000000" w:rsidRPr="00000000" w14:paraId="00000160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Martínez Santana Diana Anayanssi.</w:t>
    </w:r>
  </w:p>
  <w:p w:rsidR="00000000" w:rsidDel="00000000" w:rsidP="00000000" w:rsidRDefault="00000000" w:rsidRPr="00000000" w14:paraId="00000161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Gomez Domínguez Norma Sthepanie.</w:t>
    </w:r>
  </w:p>
  <w:p w:rsidR="00000000" w:rsidDel="00000000" w:rsidP="00000000" w:rsidRDefault="00000000" w:rsidRPr="00000000" w14:paraId="00000162">
    <w:pPr>
      <w:ind w:left="0" w:firstLine="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Revisó: Ing. José Antonio Macías García</w:t>
    </w:r>
  </w:p>
  <w:p w:rsidR="00000000" w:rsidDel="00000000" w:rsidP="00000000" w:rsidRDefault="00000000" w:rsidRPr="00000000" w14:paraId="0000016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