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Universidad Nacional Autónoma de México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Temas Selectos de Ingeniería en Computación III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CCNP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__Francisco Pablo Rodrigo____________________________</w:t>
        <w:tab/>
      </w: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__16 de Junio de 2021______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Número cuenta: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4a86e8"/>
          <w:sz w:val="18"/>
          <w:szCs w:val="18"/>
        </w:rPr>
        <w:sectPr>
          <w:headerReference r:id="rId7" w:type="default"/>
          <w:footerReference r:id="rId8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De la caja de opciones, selecciona la que consideres correcta.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Enrutamiento dinámico que se divide en varias áreas, pero la principal es el área 0: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b w:val="1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OSPF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multicast que usa OSPF para los routers designados (DR) y el router de backup (DBR):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DR -&gt; 224.0.0.5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DBR -&gt; 224.0.0.6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Nombre del 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iempo que se tardan los routers en saludarse (Uno con otro):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Adyacencia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Nombre del 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iempo que tardan los routers en compartir la tabla de enrutamiento: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Convergencia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Tipo de router en OSPF al que le llegan todas las adyacencias y se encarga de actualizar a los demás routers: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8761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Designado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el tipo de topología en OSPF donde se obliga a ser un router designado: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Point-to-point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Métrica de OSPF: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8761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Costo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Permite enrutar áreas de OSPF que no estén conectadas al área 0: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Virtual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Router en OSPF que puede tener conectado varias áreas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y se encarga de dis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tribuirlas a otras áreas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Frontera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Dirección IP multicast que emplea OSPF para todos los routers: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225.0.0.5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OSPF tiene 3 tipo de topologías: Point-to-Point, broadcast y ______: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NonBroadcast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Protocolo de enrutamiento dinámico que es conocido como Enhaced Interior Gateway Routing Protocol: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EIGRP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Paquetes de multidifusión de IPv4, que emplea Enhaced Interior Gateway Routing Protocol: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224.0.0.10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Paquetes de multidifusión de IPv6, que emplea Enhaced Interior Gateway Routing Protocol: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8761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FF02::A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el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cálculo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que se hace con 5 variables, (k1 = Ancho de banda, k2 = Carga, k3 = la demora, k4 y k5 = confiabilidad) :</w:t>
      </w: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Métrica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Distancia administrativa en EIGRP para sistemas autónomos internos: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Distancia administrativa en EIGRP para sistemas autónomos externos: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Son las siglas de los Link State Advertisement: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LSA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2350" cy="2311634"/>
            <wp:effectExtent b="0" l="0" r="0" t="0"/>
            <wp:docPr id="2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1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  <w:rtl w:val="0"/>
        </w:rPr>
        <w:t xml:space="preserve"> De acuerdo a cada inciso desarrolla el código de consola en GNS3 correspondiente al tipo de autenticación.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Comic Sans MS" w:cs="Comic Sans MS" w:eastAsia="Comic Sans MS" w:hAnsi="Comic Sans MS"/>
          <w:b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AUTENTICACIÓN POR OSPF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shd w:fill="8e7cc3" w:val="clear"/>
          <w:rtl w:val="0"/>
        </w:rPr>
        <w:t xml:space="preserve">NOTA: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Previamente se tuvo que haber configurado el enrutamiento por OSPF, el alumno podrá usar las direcciones IP que desee en R5 y R6, siempre y cuando correspondan al segmento de red, ya asignado en el ejercicio.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u w:val="single"/>
          <w:rtl w:val="0"/>
        </w:rPr>
        <w:t xml:space="preserve">TOPOLOGÍA #1: Texto en Claro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0" distT="0" distL="0" distR="0">
            <wp:extent cx="3524742" cy="1047896"/>
            <wp:effectExtent b="0" l="0" r="0" t="0"/>
            <wp:docPr id="2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b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COMANDOS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R5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interface se0/0/0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ip ospf authentication-key c1$c0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router ospf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area 0 authentication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R6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interface se0/0/0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ip ospf authentication-key c1$c0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router ospf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area 0 authentication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&gt;&gt;Se verifica que ya esté activada la contraseña en ambos routers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&gt;&gt;Al hacer un show running-config (en cualquiera de los routers) obtendremos lo siguiente: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u w:val="single"/>
          <w:rtl w:val="0"/>
        </w:rPr>
        <w:t xml:space="preserve">TOPOLOGÍA #2: MD5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0" distT="0" distL="0" distR="0">
            <wp:extent cx="3600953" cy="1181265"/>
            <wp:effectExtent b="0" l="0" r="0" t="0"/>
            <wp:docPr id="2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b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COMANDOS</w:t>
      </w:r>
    </w:p>
    <w:p w:rsidR="00000000" w:rsidDel="00000000" w:rsidP="00000000" w:rsidRDefault="00000000" w:rsidRPr="00000000" w14:paraId="0000004F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R7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interface fa0/1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ip ospf message-digest-key 1 md5 c1$c0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router ospf 1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area 0 authentication message-digest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R8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interface fa0/1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ip ospf message-digest-key 1 md5 c1$c0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router ospf 1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area 0 authentication message-digest</w:t>
      </w:r>
    </w:p>
    <w:p w:rsidR="00000000" w:rsidDel="00000000" w:rsidP="00000000" w:rsidRDefault="00000000" w:rsidRPr="00000000" w14:paraId="0000005A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&gt;&gt;Se verifica que ya esté activada la contraseña en ambos routers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&gt;&gt;Al hacer un show running-config (en cualquiera de los routers) obtendremos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  <w:rtl w:val="0"/>
        </w:rPr>
        <w:t xml:space="preserve">Completa la información del siguiente diagrama correspondiente al proceso de actualización de la tabla de routing en EIGRP **</w:t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  <w:drawing>
          <wp:inline distB="114300" distT="114300" distL="114300" distR="114300">
            <wp:extent cx="5612130" cy="4597400"/>
            <wp:effectExtent b="0" l="0" r="0" t="0"/>
            <wp:docPr id="2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Descubrimiento de vecinos, R1 pregunta si hay alguien ahí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R2 manda su información de routing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R2 pregunta si hay alguien ahí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Se manda un Acknowledge (ACK) de que se recibió la información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Se manda la información de routing del R1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Se confirma la recepción de la información por medio de un ACK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9258300</wp:posOffset>
              </wp:positionV>
              <wp:extent cx="571500" cy="434340"/>
              <wp:effectExtent b="0" l="0" r="0" t="0"/>
              <wp:wrapSquare wrapText="bothSides" distB="0" distT="0" distL="0" distR="0"/>
              <wp:docPr id="24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3810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9258300</wp:posOffset>
              </wp:positionV>
              <wp:extent cx="571500" cy="434340"/>
              <wp:effectExtent b="0" l="0" r="0" t="0"/>
              <wp:wrapSquare wrapText="bothSides" distB="0" distT="0" distL="0" distR="0"/>
              <wp:docPr id="24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434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-101599</wp:posOffset>
              </wp:positionV>
              <wp:extent cx="5953186" cy="47179"/>
              <wp:effectExtent b="0" l="0" r="0" t="0"/>
              <wp:wrapSquare wrapText="bothSides" distB="0" distT="0" distL="114300" distR="114300"/>
              <wp:docPr id="2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-101599</wp:posOffset>
              </wp:positionV>
              <wp:extent cx="5953186" cy="47179"/>
              <wp:effectExtent b="0" l="0" r="0" t="0"/>
              <wp:wrapSquare wrapText="bothSides" distB="0" distT="0" distL="114300" distR="114300"/>
              <wp:docPr id="24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86" cy="471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Elaborado por: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numPr>
        <w:ilvl w:val="0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  <w:rtl w:val="0"/>
      </w:rPr>
      <w:t xml:space="preserve">Martínez Santana Diana Anayanssi.</w:t>
    </w:r>
  </w:p>
  <w:p w:rsidR="00000000" w:rsidDel="00000000" w:rsidP="00000000" w:rsidRDefault="00000000" w:rsidRPr="00000000" w14:paraId="0000006D">
    <w:pPr>
      <w:keepNext w:val="0"/>
      <w:keepLines w:val="0"/>
      <w:widowControl w:val="1"/>
      <w:numPr>
        <w:ilvl w:val="0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  <w:rtl w:val="0"/>
      </w:rPr>
      <w:t xml:space="preserve">Gomez Domínguez Norma Sthepanie.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  <w:rtl w:val="0"/>
      </w:rPr>
      <w:t xml:space="preserve">Revisó: Ing. José Antonio Macías García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86E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86E6C"/>
  </w:style>
  <w:style w:type="paragraph" w:styleId="Piedepgina">
    <w:name w:val="footer"/>
    <w:basedOn w:val="Normal"/>
    <w:link w:val="PiedepginaCar"/>
    <w:uiPriority w:val="99"/>
    <w:unhideWhenUsed w:val="1"/>
    <w:rsid w:val="00F86E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86E6C"/>
  </w:style>
  <w:style w:type="paragraph" w:styleId="NormalWeb">
    <w:name w:val="Normal (Web)"/>
    <w:basedOn w:val="Normal"/>
    <w:uiPriority w:val="99"/>
    <w:semiHidden w:val="1"/>
    <w:unhideWhenUsed w:val="1"/>
    <w:rsid w:val="00F86E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apple-tab-span" w:customStyle="1">
    <w:name w:val="apple-tab-span"/>
    <w:basedOn w:val="Fuentedeprrafopredeter"/>
    <w:rsid w:val="00F86E6C"/>
  </w:style>
  <w:style w:type="paragraph" w:styleId="Prrafodelista">
    <w:name w:val="List Paragraph"/>
    <w:basedOn w:val="Normal"/>
    <w:uiPriority w:val="34"/>
    <w:qFormat w:val="1"/>
    <w:rsid w:val="00D2512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+pf6cs4zIWHau+mjV8lekjuoA==">AMUW2mWtRIh+cFbUvIjmz3lS8Umf9qRh3kDmzqpmRzwvUV1hAmuf8eE5N7T/hzyKKepyA9NaTVzWcY+Br+GbGa7wZ5nkLlntLA81kNiIP/NkDu8uMGibR9I=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2021-05-21T23:42:00Z</dcterms:created>
  <dc:creator>jose plutarco</dc:creator>
</cp:coreProperties>
</file>