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SMTP Email Configuration Analysis</w:t>
      </w:r>
    </w:p>
    <w:p>
      <w:r>
        <w:t/>
      </w:r>
    </w:p>
    <w:p>
      <w:r>
        <w:t>1. How SMTP Works for Superadmin</w:t>
      </w:r>
    </w:p>
    <w:p>
      <w:r>
        <w:t>- Usage: Superadmin SMTP settings act as the global fallback and default mailer for the entire application (e.g., password resets, system-level error notifications).</w:t>
      </w:r>
    </w:p>
    <w:p>
      <w:r>
        <w:t>- Mechanism: The MailConfigService::setDynamicConfig() method is responsible for loading the global mail configuration. It explicitly queries the Superadmin user (ID 1) and applies their settings globally using Laravel's Config::set() method.</w:t>
      </w:r>
    </w:p>
    <w:p>
      <w:r>
        <w:t/>
      </w:r>
    </w:p>
    <w:p>
      <w:r>
        <w:t>2. How SMTP Works for Company</w:t>
      </w:r>
    </w:p>
    <w:p>
      <w:r>
        <w:t>- Usage: Companies can configure their own SMTP settings to send out business-specific emails (like invoices or custom templates) using their own email address.</w:t>
      </w:r>
    </w:p>
    <w:p>
      <w:r>
        <w:t>- Mechanism: The EmailTemplateService::configureBusinessSMTP() method is used when sending template emails. It resolves settings dynamically by calling getSetting(), which automatically retrieves the mail configurations securely tied to the currently authenticated Company.</w:t>
      </w:r>
    </w:p>
    <w:p>
      <w:r>
        <w:t>- Staff Fallback: If a regular staff member triggers an email, the settings() helper automatically detects their company (created_by) and uses the parent Company's SMTP configuration.</w:t>
      </w:r>
    </w:p>
    <w:p>
      <w:r>
        <w:t/>
      </w:r>
    </w:p>
    <w:p>
      <w:r>
        <w:t>3. How the Data is Stored</w:t>
      </w:r>
    </w:p>
    <w:p>
      <w:r>
        <w:t>- Database Table: All configurations are stored in the "settings" database table.</w:t>
      </w:r>
    </w:p>
    <w:p>
      <w:r>
        <w:t>- Storage Format: Records are stored as key-value pairs mapped by the user_id (Company or Superadmin ID).</w:t>
      </w:r>
    </w:p>
    <w:p>
      <w:r>
        <w:t>- Keys Used: email_provider, email_driver, email_host, email_port, email_username, email_password, email_encryption, email_from_address, and email_from_name.</w:t>
      </w:r>
    </w:p>
    <w:p>
      <w:r>
        <w:t>- Creation/Update: The EmailSettingController handles storing these details using the updateSetting() helper function, which relies on Eloquent's updateOrCreate() to save them securely to the database.</w:t>
      </w:r>
    </w:p>
  </w:body>
</w:document>
</file>