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ab/>
        <w:tab/>
        <w:tab/>
        <w:tab/>
        <w:tab/>
        <w:t xml:space="preserve">Survey Platform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Functional Requirements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Management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1.1 User registration and authentication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1.2 User roles (survey conductor, participant, administrator)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1.3 User profile management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Survey Creation and Management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2.1 Create, edit, and delete surveys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2.2 Import/export survey questions (CSV format)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2.3 Support various question types (MCQ, MSQ, rating scales, open-ended text, image ranking,coding)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2.4 Embed media (images, videos, audio) in surveys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2.5 Implement branching logic based on question responses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2.6 Set video-dependent questions (locked until video playback criteria met)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Participant Recruitment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3.1 Self-recruitment mode (generate shareable survey links)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3.2 Platform recruitment service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3.2.1 Define participant criteria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3.2.2 Match surveys with registered participants based on criteria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Survey Taking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4.1 Access surveys via web and mobile interfaces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4.2 Pause and resume survey progress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4.3 Save responses in real-time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4.4 Support offline survey taking (sync when online)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Data Collection and Storage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5.1 Collect and store individual responses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5.2 Ensure response anonymity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5.3 Option for self-hosted or cloud-based data storage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Analytics and Reporting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6.1 Generate basic survey result reports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6.2 Provide tools to sort and refine responses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6.3 Export results in various formats (CSV, PDF, etc.)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Administration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7.1 Platform configuration and management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7.2 User management (create, modify, delete accounts)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7.3 Monitor system usage and performance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Non-Functional Requirements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1.1 Support concurrent users: minimum 10,000 simultaneous users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1.2 Response time: &lt;2 seconds for 95% of requests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1.3 Page load time: &lt;3 seconds for complex surveys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2.1 Support for microservices architecture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3.1 End-to-end encryption for all data transmissions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3.2 Regular security audits and penetration testing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3.3 Multi-factor authentication option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4.1 Intuitive, user-friendly interface for both conductors and participants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4.2 Mobile-responsive design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Maintainability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5.1 Modular architecture for easy updates and maintenance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5.2 Comprehensive logging and monitoring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5.3 Automated testing with &gt;80% code coverage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Compatibility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6.1 Support latest versions of major browsers (Chrome, Firefox, Safari, Edge)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6.2 Mobile app support for iOS 13+ and Android 8+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Localization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7.1 Multi-language support (initially English, with easy addition of other languages)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7.2 Localization of date, time, and number formats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Data Integrity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8.1 Implement data validation checks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Compliance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9.1 Adhere to relevant survey and market research industry standards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9.2 Implement ethical guidelines for survey conduct and data usage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Interoperability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12.1 Provide RESTful APIs for integration with third-party systems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12.2 Support standard data exchange formats (JSON, XML)</w:t>
      </w:r>
    </w:p>
    <w:p w:rsidR="00000000" w:rsidDel="00000000" w:rsidP="00000000" w:rsidRDefault="00000000" w:rsidRPr="00000000" w14:paraId="00000044">
      <w:pPr>
        <w:spacing w:after="240" w:before="240" w:lineRule="auto"/>
        <w:ind w:left="-144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      </w:t>
        <w:tab/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Use Case Diagram</w:t>
      </w:r>
    </w:p>
    <w:p w:rsidR="00000000" w:rsidDel="00000000" w:rsidP="00000000" w:rsidRDefault="00000000" w:rsidRPr="00000000" w14:paraId="00000045">
      <w:pPr>
        <w:spacing w:after="240" w:before="240" w:lineRule="auto"/>
        <w:ind w:left="-1440" w:firstLine="0"/>
        <w:rPr/>
      </w:pPr>
      <w:r w:rsidDel="00000000" w:rsidR="00000000" w:rsidRPr="00000000">
        <w:rPr>
          <w:rtl w:val="0"/>
        </w:rPr>
        <w:tab/>
        <w:tab/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https://app.eraser.io/workspace/ap1aYFlmiXNvKbAXcMVv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-144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7405688" cy="75723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5688" cy="757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-144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High Level Design:</w:t>
      </w:r>
    </w:p>
    <w:p w:rsidR="00000000" w:rsidDel="00000000" w:rsidP="00000000" w:rsidRDefault="00000000" w:rsidRPr="00000000" w14:paraId="00000049">
      <w:pPr>
        <w:spacing w:after="240" w:before="240" w:lineRule="auto"/>
        <w:ind w:left="-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Link: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https://app.eraser.io/workspace/qb3PHL2DqKzO8gRHAS7O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-144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243763" cy="53340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376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3763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-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Schema: </w:t>
      </w:r>
    </w:p>
    <w:p w:rsidR="00000000" w:rsidDel="00000000" w:rsidP="00000000" w:rsidRDefault="00000000" w:rsidRPr="00000000" w14:paraId="0000004C">
      <w:pPr>
        <w:spacing w:after="240" w:before="240" w:lineRule="auto"/>
        <w:ind w:left="-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https://app.eraser.io/workspace/aagyHzT5gYtCyaKQmICf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-144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986588" cy="4736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6588" cy="473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-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app.eraser.io/workspace/aagyHzT5gYtCyaKQmICf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app.eraser.io/workspace/ap1aYFlmiXNvKbAXcMVv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app.eraser.io/workspace/qb3PHL2DqKzO8gRHAS7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