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56"/>
          <w:szCs w:val="56"/>
        </w:rPr>
        <w:t xml:space="preserve">Drilling Operations</w:t>
      </w:r>
    </w:p>
    <w:p>
      <w:pPr>
        <w:spacing w:after="100"/>
        <w:jc w:val="center"/>
      </w:pPr>
      <w:r>
        <w:rPr>
          <w:rFonts w:ascii="Arial" w:cs="Arial" w:eastAsia="Arial" w:hAnsi="Arial"/>
          <w:color w:val="2E86C1"/>
          <w:sz w:val="40"/>
          <w:szCs w:val="40"/>
        </w:rPr>
        <w:t xml:space="preserve">Phases &amp; Phase Steps</w:t>
      </w:r>
    </w:p>
    <w:p>
      <w:pPr>
        <w:pBdr>
          <w:top w:val="single" w:color="2E86C1" w:sz="6" w:space="8"/>
        </w:pBdr>
        <w:spacing w:before="200" w:after="100"/>
        <w:jc w:val="center"/>
      </w:pPr>
    </w:p>
    <w:p>
      <w:pPr>
        <w:spacing w:after="100"/>
        <w:jc w:val="center"/>
      </w:pPr>
      <w:r>
        <w:rPr>
          <w:rFonts w:ascii="Arial" w:cs="Arial" w:eastAsia="Arial" w:hAnsi="Arial"/>
          <w:i/>
          <w:iCs/>
          <w:color w:val="666666"/>
          <w:sz w:val="26"/>
          <w:szCs w:val="26"/>
        </w:rPr>
        <w:t xml:space="preserve">Definitions &amp; Comprehensive Process Description</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Phase Definitions</w:t>
      </w:r>
    </w:p>
    <w:p>
      <w:pPr>
        <w:spacing w:before="120" w:after="200"/>
      </w:pPr>
      <w:r>
        <w:rPr>
          <w:rFonts w:ascii="Arial" w:cs="Arial" w:eastAsia="Arial" w:hAnsi="Arial"/>
          <w:i/>
          <w:iCs/>
          <w:color w:val="555555"/>
          <w:sz w:val="22"/>
          <w:szCs w:val="22"/>
        </w:rPr>
        <w:t xml:space="preserve">Drilling operations are organized into sequential phases, each representing a major stage in the well construction process. The following table defines each phase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B0C4DE" w:sz="1"/>
              <w:left w:val="single" w:color="B0C4DE" w:sz="1"/>
              <w:bottom w:val="single" w:color="B0C4DE" w:sz="1"/>
              <w:right w:val="single" w:color="B0C4DE"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Phase Code</w:t>
            </w:r>
          </w:p>
        </w:tc>
        <w:tc>
          <w:tcPr>
            <w:tcW w:type="dxa" w:w="2000"/>
            <w:tcBorders>
              <w:top w:val="single" w:color="B0C4DE" w:sz="1"/>
              <w:left w:val="single" w:color="B0C4DE" w:sz="1"/>
              <w:bottom w:val="single" w:color="B0C4DE" w:sz="1"/>
              <w:right w:val="single" w:color="B0C4DE"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Full Name</w:t>
            </w:r>
          </w:p>
        </w:tc>
        <w:tc>
          <w:tcPr>
            <w:tcW w:type="dxa" w:w="5960"/>
            <w:tcBorders>
              <w:top w:val="single" w:color="B0C4DE" w:sz="1"/>
              <w:left w:val="single" w:color="B0C4DE" w:sz="1"/>
              <w:bottom w:val="single" w:color="B0C4DE" w:sz="1"/>
              <w:right w:val="single" w:color="B0C4DE"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Definition</w:t>
            </w:r>
          </w:p>
        </w:tc>
      </w:tr>
      <w:tr>
        <w:tc>
          <w:tcPr>
            <w:tcW w:type="dxa" w:w="14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bCs/>
                <w:sz w:val="20"/>
                <w:szCs w:val="20"/>
              </w:rPr>
              <w:t xml:space="preserve">MOB</w:t>
            </w:r>
          </w:p>
        </w:tc>
        <w:tc>
          <w:tcPr>
            <w:tcW w:type="dxa" w:w="2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Mobilization</w:t>
            </w:r>
          </w:p>
        </w:tc>
        <w:tc>
          <w:tcPr>
            <w:tcW w:type="dxa" w:w="59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The initial phase of a drilling operation where the drilling rig, equipment, and personnel are transported to the well site and assembled. This includes rigging up all surface equipment, testing safety systems, and preparing the location for spud (the start of drilling).</w:t>
            </w:r>
          </w:p>
        </w:tc>
      </w:tr>
      <w:tr>
        <w:tc>
          <w:tcPr>
            <w:tcW w:type="dxa" w:w="140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r>
              <w:rPr>
                <w:rFonts w:ascii="Arial" w:cs="Arial" w:eastAsia="Arial" w:hAnsi="Arial"/>
                <w:b/>
                <w:bCs/>
                <w:sz w:val="20"/>
                <w:szCs w:val="20"/>
              </w:rPr>
              <w:t xml:space="preserve">SURF</w:t>
            </w:r>
          </w:p>
        </w:tc>
        <w:tc>
          <w:tcPr>
            <w:tcW w:type="dxa" w:w="200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r>
              <w:rPr>
                <w:rFonts w:ascii="Arial" w:cs="Arial" w:eastAsia="Arial" w:hAnsi="Arial"/>
                <w:b w:val="false"/>
                <w:bCs w:val="false"/>
                <w:sz w:val="20"/>
                <w:szCs w:val="20"/>
              </w:rPr>
              <w:t xml:space="preserve">Surface Hole</w:t>
            </w:r>
          </w:p>
        </w:tc>
        <w:tc>
          <w:tcPr>
            <w:tcW w:type="dxa" w:w="596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r>
              <w:rPr>
                <w:rFonts w:ascii="Arial" w:cs="Arial" w:eastAsia="Arial" w:hAnsi="Arial"/>
                <w:b w:val="false"/>
                <w:bCs w:val="false"/>
                <w:sz w:val="20"/>
                <w:szCs w:val="20"/>
              </w:rPr>
              <w:t xml:space="preserve">The first hole section drilled after spud. The surface hole is relatively shallow and is cased and cemented to protect shallow freshwater aquifers, provide structural support for the wellhead and blowout preventer (BOP), and serve as the foundation for deeper drilling. Regulatory requirements typically govern the minimum depth of surface casing.</w:t>
            </w:r>
          </w:p>
        </w:tc>
      </w:tr>
      <w:tr>
        <w:tc>
          <w:tcPr>
            <w:tcW w:type="dxa" w:w="14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bCs/>
                <w:sz w:val="20"/>
                <w:szCs w:val="20"/>
              </w:rPr>
              <w:t xml:space="preserve">PILOT</w:t>
            </w:r>
          </w:p>
        </w:tc>
        <w:tc>
          <w:tcPr>
            <w:tcW w:type="dxa" w:w="2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Pilot Hole</w:t>
            </w:r>
          </w:p>
        </w:tc>
        <w:tc>
          <w:tcPr>
            <w:tcW w:type="dxa" w:w="59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An optional, smaller-diameter hole drilled ahead of the main wellbore to evaluate downhole formation properties, confirm geological targets, and gather data (via logging) before committing to the full-size hole. After evaluation, the pilot hole may be sidetracked or reamed to full gauge.</w:t>
            </w:r>
          </w:p>
        </w:tc>
      </w:tr>
      <w:tr>
        <w:tc>
          <w:tcPr>
            <w:tcW w:type="dxa" w:w="140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r>
              <w:rPr>
                <w:rFonts w:ascii="Arial" w:cs="Arial" w:eastAsia="Arial" w:hAnsi="Arial"/>
                <w:b/>
                <w:bCs/>
                <w:sz w:val="20"/>
                <w:szCs w:val="20"/>
              </w:rPr>
              <w:t xml:space="preserve">INT</w:t>
            </w:r>
          </w:p>
        </w:tc>
        <w:tc>
          <w:tcPr>
            <w:tcW w:type="dxa" w:w="200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r>
              <w:rPr>
                <w:rFonts w:ascii="Arial" w:cs="Arial" w:eastAsia="Arial" w:hAnsi="Arial"/>
                <w:b w:val="false"/>
                <w:bCs w:val="false"/>
                <w:sz w:val="20"/>
                <w:szCs w:val="20"/>
              </w:rPr>
              <w:t xml:space="preserve">Intermediate Hole 1</w:t>
            </w:r>
          </w:p>
        </w:tc>
        <w:tc>
          <w:tcPr>
            <w:tcW w:type="dxa" w:w="596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r>
              <w:rPr>
                <w:rFonts w:ascii="Arial" w:cs="Arial" w:eastAsia="Arial" w:hAnsi="Arial"/>
                <w:b w:val="false"/>
                <w:bCs w:val="false"/>
                <w:sz w:val="20"/>
                <w:szCs w:val="20"/>
              </w:rPr>
              <w:t xml:space="preserve">The hole section drilled below the surface casing. Intermediate casing is set to isolate problematic formations such as abnormal pressure zones, unstable shales, lost-circulation zones, or saltwater flows. It provides wellbore integrity for drilling deeper sections safely.</w:t>
            </w:r>
          </w:p>
        </w:tc>
      </w:tr>
      <w:tr>
        <w:tc>
          <w:tcPr>
            <w:tcW w:type="dxa" w:w="14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bCs/>
                <w:sz w:val="20"/>
                <w:szCs w:val="20"/>
              </w:rPr>
              <w:t xml:space="preserve">INT2</w:t>
            </w:r>
          </w:p>
        </w:tc>
        <w:tc>
          <w:tcPr>
            <w:tcW w:type="dxa" w:w="2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Intermediate Hole 2</w:t>
            </w:r>
          </w:p>
        </w:tc>
        <w:tc>
          <w:tcPr>
            <w:tcW w:type="dxa" w:w="59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 second intermediate hole section required when additional casing strings are needed to manage complex downhole conditions. This is common in deep wells or wells that transition through multiple geological zones with significantly different pore pressures or fracture gradients.</w:t>
            </w:r>
          </w:p>
        </w:tc>
      </w:tr>
      <w:tr>
        <w:tc>
          <w:tcPr>
            <w:tcW w:type="dxa" w:w="140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r>
              <w:rPr>
                <w:rFonts w:ascii="Arial" w:cs="Arial" w:eastAsia="Arial" w:hAnsi="Arial"/>
                <w:b/>
                <w:bCs/>
                <w:sz w:val="20"/>
                <w:szCs w:val="20"/>
              </w:rPr>
              <w:t xml:space="preserve">INT3</w:t>
            </w:r>
          </w:p>
        </w:tc>
        <w:tc>
          <w:tcPr>
            <w:tcW w:type="dxa" w:w="200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r>
              <w:rPr>
                <w:rFonts w:ascii="Arial" w:cs="Arial" w:eastAsia="Arial" w:hAnsi="Arial"/>
                <w:b w:val="false"/>
                <w:bCs w:val="false"/>
                <w:sz w:val="20"/>
                <w:szCs w:val="20"/>
              </w:rPr>
              <w:t xml:space="preserve">Intermediate Hole 3</w:t>
            </w:r>
          </w:p>
        </w:tc>
        <w:tc>
          <w:tcPr>
            <w:tcW w:type="dxa" w:w="596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r>
              <w:rPr>
                <w:rFonts w:ascii="Arial" w:cs="Arial" w:eastAsia="Arial" w:hAnsi="Arial"/>
                <w:b w:val="false"/>
                <w:bCs w:val="false"/>
                <w:sz w:val="20"/>
                <w:szCs w:val="20"/>
              </w:rPr>
              <w:t xml:space="preserve">A third intermediate hole section, used in exceptionally deep or geologically complex wells where three intermediate casing strings are required to maintain wellbore stability and pressure control through successive troublesome formations.</w:t>
            </w:r>
          </w:p>
        </w:tc>
      </w:tr>
      <w:tr>
        <w:tc>
          <w:tcPr>
            <w:tcW w:type="dxa" w:w="14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bCs/>
                <w:sz w:val="20"/>
                <w:szCs w:val="20"/>
              </w:rPr>
              <w:t xml:space="preserve">PROD</w:t>
            </w:r>
          </w:p>
        </w:tc>
        <w:tc>
          <w:tcPr>
            <w:tcW w:type="dxa" w:w="20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Production Hole</w:t>
            </w:r>
          </w:p>
        </w:tc>
        <w:tc>
          <w:tcPr>
            <w:tcW w:type="dxa" w:w="59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The final drilled section that penetrates the target reservoir or pay zone. This is the section from which hydrocarbons will ultimately be produced. In horizontal or directional wells, the production hole includes the curve (build section) and the lateral (horizontal section) drilled through the reservoir rock.</w:t>
            </w:r>
          </w:p>
        </w:tc>
      </w:tr>
      <w:tr>
        <w:tc>
          <w:tcPr>
            <w:tcW w:type="dxa" w:w="140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r>
              <w:rPr>
                <w:rFonts w:ascii="Arial" w:cs="Arial" w:eastAsia="Arial" w:hAnsi="Arial"/>
                <w:b/>
                <w:bCs/>
                <w:sz w:val="20"/>
                <w:szCs w:val="20"/>
              </w:rPr>
              <w:t xml:space="preserve">DEMOB</w:t>
            </w:r>
          </w:p>
        </w:tc>
        <w:tc>
          <w:tcPr>
            <w:tcW w:type="dxa" w:w="200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r>
              <w:rPr>
                <w:rFonts w:ascii="Arial" w:cs="Arial" w:eastAsia="Arial" w:hAnsi="Arial"/>
                <w:b w:val="false"/>
                <w:bCs w:val="false"/>
                <w:sz w:val="20"/>
                <w:szCs w:val="20"/>
              </w:rPr>
              <w:t xml:space="preserve">Demobilization</w:t>
            </w:r>
          </w:p>
        </w:tc>
        <w:tc>
          <w:tcPr>
            <w:tcW w:type="dxa" w:w="596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r>
              <w:rPr>
                <w:rFonts w:ascii="Arial" w:cs="Arial" w:eastAsia="Arial" w:hAnsi="Arial"/>
                <w:b w:val="false"/>
                <w:bCs w:val="false"/>
                <w:sz w:val="20"/>
                <w:szCs w:val="20"/>
              </w:rPr>
              <w:t xml:space="preserve">The final phase of the drilling operation where the rig is disassembled (rigged down), equipment is cleaned and staged for transport, and the rig and crew are moved off location. The well site is then handed over for completion operations or restored per environmental requirements.</w:t>
            </w:r>
          </w:p>
        </w:tc>
      </w:tr>
    </w:tbl>
    <w:p>
      <w:r>
        <w:br w:type="page"/>
      </w:r>
    </w:p>
    <w:p>
      <w:pPr>
        <w:pStyle w:val="Heading1"/>
      </w:pPr>
      <w:r>
        <w:t xml:space="preserve">2. Phase Step Definitions</w:t>
      </w:r>
    </w:p>
    <w:p>
      <w:pPr>
        <w:spacing w:before="120" w:after="200"/>
      </w:pPr>
      <w:r>
        <w:rPr>
          <w:rFonts w:ascii="Arial" w:cs="Arial" w:eastAsia="Arial" w:hAnsi="Arial"/>
          <w:i/>
          <w:iCs/>
          <w:color w:val="555555"/>
          <w:sz w:val="22"/>
          <w:szCs w:val="22"/>
        </w:rPr>
        <w:t xml:space="preserve">Within each phase, individual activities are tracked as phase steps. These steps represent discrete operational milestones. The following table defines each phase step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c>
          <w:tcPr>
            <w:tcW w:type="dxa" w:w="1600"/>
            <w:tcBorders>
              <w:top w:val="single" w:color="B0C4DE" w:sz="1"/>
              <w:left w:val="single" w:color="B0C4DE" w:sz="1"/>
              <w:bottom w:val="single" w:color="B0C4DE" w:sz="1"/>
              <w:right w:val="single" w:color="B0C4DE"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Step Code</w:t>
            </w:r>
          </w:p>
        </w:tc>
        <w:tc>
          <w:tcPr>
            <w:tcW w:type="dxa" w:w="1800"/>
            <w:tcBorders>
              <w:top w:val="single" w:color="B0C4DE" w:sz="1"/>
              <w:left w:val="single" w:color="B0C4DE" w:sz="1"/>
              <w:bottom w:val="single" w:color="B0C4DE" w:sz="1"/>
              <w:right w:val="single" w:color="B0C4DE"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Full Name</w:t>
            </w:r>
          </w:p>
        </w:tc>
        <w:tc>
          <w:tcPr>
            <w:tcW w:type="dxa" w:w="5960"/>
            <w:tcBorders>
              <w:top w:val="single" w:color="B0C4DE" w:sz="1"/>
              <w:left w:val="single" w:color="B0C4DE" w:sz="1"/>
              <w:bottom w:val="single" w:color="B0C4DE" w:sz="1"/>
              <w:right w:val="single" w:color="B0C4DE"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Definition</w:t>
            </w:r>
          </w:p>
        </w:tc>
      </w:tr>
      <w:tr>
        <w:tc>
          <w:tcPr>
            <w:tcW w:type="dxa" w:w="16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bCs/>
                <w:sz w:val="20"/>
                <w:szCs w:val="20"/>
              </w:rPr>
              <w:t xml:space="preserve">RIG UP</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Rig Up</w:t>
            </w:r>
          </w:p>
        </w:tc>
        <w:tc>
          <w:tcPr>
            <w:tcW w:type="dxa" w:w="59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Assembling, erecting, and connecting all rig components on location, including the mast/derrick, draw works, mud system, BOP stack, and ancillary equipment. Includes all pre-spud inspections and function tests.</w:t>
            </w:r>
          </w:p>
        </w:tc>
      </w:tr>
      <w:tr>
        <w:tc>
          <w:tcPr>
            <w:tcW w:type="dxa" w:w="160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r>
              <w:rPr>
                <w:rFonts w:ascii="Arial" w:cs="Arial" w:eastAsia="Arial" w:hAnsi="Arial"/>
                <w:b/>
                <w:bCs/>
                <w:sz w:val="20"/>
                <w:szCs w:val="20"/>
              </w:rPr>
              <w:t xml:space="preserve">MOVE</w:t>
            </w:r>
          </w:p>
        </w:tc>
        <w:tc>
          <w:tcPr>
            <w:tcW w:type="dxa" w:w="180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r>
              <w:rPr>
                <w:rFonts w:ascii="Arial" w:cs="Arial" w:eastAsia="Arial" w:hAnsi="Arial"/>
                <w:b w:val="false"/>
                <w:bCs w:val="false"/>
                <w:sz w:val="20"/>
                <w:szCs w:val="20"/>
              </w:rPr>
              <w:t xml:space="preserve">Rig Move</w:t>
            </w:r>
          </w:p>
        </w:tc>
        <w:tc>
          <w:tcPr>
            <w:tcW w:type="dxa" w:w="596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r>
              <w:rPr>
                <w:rFonts w:ascii="Arial" w:cs="Arial" w:eastAsia="Arial" w:hAnsi="Arial"/>
                <w:b w:val="false"/>
                <w:bCs w:val="false"/>
                <w:sz w:val="20"/>
                <w:szCs w:val="20"/>
              </w:rPr>
              <w:t xml:space="preserve">Physically relocating the drilling rig from one well to another, commonly seen on multi-well pad operations. Includes skidding (short moves on a pad) or full rig-down and transport to a new location.</w:t>
            </w:r>
          </w:p>
        </w:tc>
      </w:tr>
      <w:tr>
        <w:tc>
          <w:tcPr>
            <w:tcW w:type="dxa" w:w="16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bCs/>
                <w:sz w:val="20"/>
                <w:szCs w:val="20"/>
              </w:rPr>
              <w:t xml:space="preserve">PRE DRL</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Pre-Drill</w:t>
            </w:r>
          </w:p>
        </w:tc>
        <w:tc>
          <w:tcPr>
            <w:tcW w:type="dxa" w:w="59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Preparatory activities performed before drilling each hole section. Typical tasks include making up the bottom-hole assembly (BHA), performing BOP pressure tests, conducting kick drills and safety meetings, installing casing hangers or wear bushings, and verifying all systems are operational.</w:t>
            </w:r>
          </w:p>
        </w:tc>
      </w:tr>
      <w:tr>
        <w:tc>
          <w:tcPr>
            <w:tcW w:type="dxa" w:w="160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r>
              <w:rPr>
                <w:rFonts w:ascii="Arial" w:cs="Arial" w:eastAsia="Arial" w:hAnsi="Arial"/>
                <w:b/>
                <w:bCs/>
                <w:sz w:val="20"/>
                <w:szCs w:val="20"/>
              </w:rPr>
              <w:t xml:space="preserve">DRL</w:t>
            </w:r>
          </w:p>
        </w:tc>
        <w:tc>
          <w:tcPr>
            <w:tcW w:type="dxa" w:w="180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r>
              <w:rPr>
                <w:rFonts w:ascii="Arial" w:cs="Arial" w:eastAsia="Arial" w:hAnsi="Arial"/>
                <w:b w:val="false"/>
                <w:bCs w:val="false"/>
                <w:sz w:val="20"/>
                <w:szCs w:val="20"/>
              </w:rPr>
              <w:t xml:space="preserve">Drill</w:t>
            </w:r>
          </w:p>
        </w:tc>
        <w:tc>
          <w:tcPr>
            <w:tcW w:type="dxa" w:w="596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r>
              <w:rPr>
                <w:rFonts w:ascii="Arial" w:cs="Arial" w:eastAsia="Arial" w:hAnsi="Arial"/>
                <w:b w:val="false"/>
                <w:bCs w:val="false"/>
                <w:sz w:val="20"/>
                <w:szCs w:val="20"/>
              </w:rPr>
              <w:t xml:space="preserve">The act of actively drilling the hole section using a rotary drilling assembly. This encompasses all time on-bottom making new hole, including connections (adding new drill pipe joints), surveys, reaming tight spots, and managing drilling parameters (weight on bit, RPM, flow rate).</w:t>
            </w:r>
          </w:p>
        </w:tc>
      </w:tr>
      <w:tr>
        <w:tc>
          <w:tcPr>
            <w:tcW w:type="dxa" w:w="16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bCs/>
                <w:sz w:val="20"/>
                <w:szCs w:val="20"/>
              </w:rPr>
              <w:t xml:space="preserve">DRL CURVE</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Drill Curve</w:t>
            </w:r>
          </w:p>
        </w:tc>
        <w:tc>
          <w:tcPr>
            <w:tcW w:type="dxa" w:w="59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Drilling the curved or build section of a directional well where the wellbore trajectory transitions from vertical (or near-vertical) to a higher inclination angle, typically building toward horizontal. This requires precise directional drilling tools (mud motors, rotary steerable systems) and frequent surveys.</w:t>
            </w:r>
          </w:p>
        </w:tc>
      </w:tr>
      <w:tr>
        <w:tc>
          <w:tcPr>
            <w:tcW w:type="dxa" w:w="160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r>
              <w:rPr>
                <w:rFonts w:ascii="Arial" w:cs="Arial" w:eastAsia="Arial" w:hAnsi="Arial"/>
                <w:b/>
                <w:bCs/>
                <w:sz w:val="20"/>
                <w:szCs w:val="20"/>
              </w:rPr>
              <w:t xml:space="preserve">DRL LAT</w:t>
            </w:r>
          </w:p>
        </w:tc>
        <w:tc>
          <w:tcPr>
            <w:tcW w:type="dxa" w:w="180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r>
              <w:rPr>
                <w:rFonts w:ascii="Arial" w:cs="Arial" w:eastAsia="Arial" w:hAnsi="Arial"/>
                <w:b w:val="false"/>
                <w:bCs w:val="false"/>
                <w:sz w:val="20"/>
                <w:szCs w:val="20"/>
              </w:rPr>
              <w:t xml:space="preserve">Drill Lateral</w:t>
            </w:r>
          </w:p>
        </w:tc>
        <w:tc>
          <w:tcPr>
            <w:tcW w:type="dxa" w:w="596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r>
              <w:rPr>
                <w:rFonts w:ascii="Arial" w:cs="Arial" w:eastAsia="Arial" w:hAnsi="Arial"/>
                <w:b w:val="false"/>
                <w:bCs w:val="false"/>
                <w:sz w:val="20"/>
                <w:szCs w:val="20"/>
              </w:rPr>
              <w:t xml:space="preserve">Drilling the horizontal (lateral) section of the well through the target reservoir formation. The lateral is typically the longest section of a horizontal well and is drilled at or near 90 degrees inclination to maximize exposure to the pay zone. Geosteering is commonly used to keep the wellbore within the productive interval.</w:t>
            </w:r>
          </w:p>
        </w:tc>
      </w:tr>
      <w:tr>
        <w:tc>
          <w:tcPr>
            <w:tcW w:type="dxa" w:w="16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bCs/>
                <w:sz w:val="20"/>
                <w:szCs w:val="20"/>
              </w:rPr>
              <w:t xml:space="preserve">POST DRL</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Post-Drill</w:t>
            </w:r>
          </w:p>
        </w:tc>
        <w:tc>
          <w:tcPr>
            <w:tcW w:type="dxa" w:w="59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Activities performed after drilling a hole section is complete, before running casing. Common tasks include circulating and conditioning the drilling fluid, performing wiper trips (pulling the drill string up and running it back to bottom to clean the hole), short trips, and logging if required. The goal is to ensure the hole is clean, stable, and in good condition for casing operations.</w:t>
            </w:r>
          </w:p>
        </w:tc>
      </w:tr>
      <w:tr>
        <w:tc>
          <w:tcPr>
            <w:tcW w:type="dxa" w:w="160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r>
              <w:rPr>
                <w:rFonts w:ascii="Arial" w:cs="Arial" w:eastAsia="Arial" w:hAnsi="Arial"/>
                <w:b/>
                <w:bCs/>
                <w:sz w:val="20"/>
                <w:szCs w:val="20"/>
              </w:rPr>
              <w:t xml:space="preserve">LOG</w:t>
            </w:r>
          </w:p>
        </w:tc>
        <w:tc>
          <w:tcPr>
            <w:tcW w:type="dxa" w:w="180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r>
              <w:rPr>
                <w:rFonts w:ascii="Arial" w:cs="Arial" w:eastAsia="Arial" w:hAnsi="Arial"/>
                <w:b w:val="false"/>
                <w:bCs w:val="false"/>
                <w:sz w:val="20"/>
                <w:szCs w:val="20"/>
              </w:rPr>
              <w:t xml:space="preserve">Logging</w:t>
            </w:r>
          </w:p>
        </w:tc>
        <w:tc>
          <w:tcPr>
            <w:tcW w:type="dxa" w:w="596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r>
              <w:rPr>
                <w:rFonts w:ascii="Arial" w:cs="Arial" w:eastAsia="Arial" w:hAnsi="Arial"/>
                <w:b w:val="false"/>
                <w:bCs w:val="false"/>
                <w:sz w:val="20"/>
                <w:szCs w:val="20"/>
              </w:rPr>
              <w:t xml:space="preserve">Running wireline or logging-while-drilling (LWD) tools through the open hole to measure formation properties such as resistivity, porosity, density, gamma ray, sonic velocity, and other parameters. Logs are used to evaluate the presence and quality of hydrocarbons, confirm geological targets, and make decisions about casing points and completion design.</w:t>
            </w:r>
          </w:p>
        </w:tc>
      </w:tr>
      <w:tr>
        <w:tc>
          <w:tcPr>
            <w:tcW w:type="dxa" w:w="16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bCs/>
                <w:sz w:val="20"/>
                <w:szCs w:val="20"/>
              </w:rPr>
              <w:t xml:space="preserve">CASING</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Run Casing</w:t>
            </w:r>
          </w:p>
        </w:tc>
        <w:tc>
          <w:tcPr>
            <w:tcW w:type="dxa" w:w="59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Running the casing string (steel pipe joints) into the drilled hole. This includes picking up casing from the pipe racks, making up connections with the correct torque, attaching casing accessories (centralizers, float equipment, scratchers), and lowering the string to the target depth. Proper casing placement is critical for zonal isolation.</w:t>
            </w:r>
          </w:p>
        </w:tc>
      </w:tr>
      <w:tr>
        <w:tc>
          <w:tcPr>
            <w:tcW w:type="dxa" w:w="160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r>
              <w:rPr>
                <w:rFonts w:ascii="Arial" w:cs="Arial" w:eastAsia="Arial" w:hAnsi="Arial"/>
                <w:b/>
                <w:bCs/>
                <w:sz w:val="20"/>
                <w:szCs w:val="20"/>
              </w:rPr>
              <w:t xml:space="preserve">CMT / CEMENT</w:t>
            </w:r>
          </w:p>
        </w:tc>
        <w:tc>
          <w:tcPr>
            <w:tcW w:type="dxa" w:w="180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r>
              <w:rPr>
                <w:rFonts w:ascii="Arial" w:cs="Arial" w:eastAsia="Arial" w:hAnsi="Arial"/>
                <w:b w:val="false"/>
                <w:bCs w:val="false"/>
                <w:sz w:val="20"/>
                <w:szCs w:val="20"/>
              </w:rPr>
              <w:t xml:space="preserve">Cement</w:t>
            </w:r>
          </w:p>
        </w:tc>
        <w:tc>
          <w:tcPr>
            <w:tcW w:type="dxa" w:w="596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r>
              <w:rPr>
                <w:rFonts w:ascii="Arial" w:cs="Arial" w:eastAsia="Arial" w:hAnsi="Arial"/>
                <w:b w:val="false"/>
                <w:bCs w:val="false"/>
                <w:sz w:val="20"/>
                <w:szCs w:val="20"/>
              </w:rPr>
              <w:t xml:space="preserve">Pumping cement slurry into the annular space between the casing and the borehole wall. Cementing provides a hydraulic seal to isolate different formations, prevents fluid migration between zones, provides structural support to the casing, and protects the casing from corrosion. The cement job typically involves displacing mud with spacer fluid followed by cement slurry.</w:t>
            </w:r>
          </w:p>
        </w:tc>
      </w:tr>
      <w:tr>
        <w:tc>
          <w:tcPr>
            <w:tcW w:type="dxa" w:w="16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bCs/>
                <w:sz w:val="20"/>
                <w:szCs w:val="20"/>
              </w:rPr>
              <w:t xml:space="preserve">CASE &amp; CMT</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Case &amp; Cement</w:t>
            </w:r>
          </w:p>
        </w:tc>
        <w:tc>
          <w:tcPr>
            <w:tcW w:type="dxa" w:w="59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 combined tracking category where the casing running and cementing operations are recorded as a single step rather than being separated. This is used when the operation flows continuously without a meaningful break between the two activities.</w:t>
            </w:r>
          </w:p>
        </w:tc>
      </w:tr>
      <w:tr>
        <w:tc>
          <w:tcPr>
            <w:tcW w:type="dxa" w:w="160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r>
              <w:rPr>
                <w:rFonts w:ascii="Arial" w:cs="Arial" w:eastAsia="Arial" w:hAnsi="Arial"/>
                <w:b/>
                <w:bCs/>
                <w:sz w:val="20"/>
                <w:szCs w:val="20"/>
              </w:rPr>
              <w:t xml:space="preserve">POST CMT</w:t>
            </w:r>
          </w:p>
        </w:tc>
        <w:tc>
          <w:tcPr>
            <w:tcW w:type="dxa" w:w="180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r>
              <w:rPr>
                <w:rFonts w:ascii="Arial" w:cs="Arial" w:eastAsia="Arial" w:hAnsi="Arial"/>
                <w:b w:val="false"/>
                <w:bCs w:val="false"/>
                <w:sz w:val="20"/>
                <w:szCs w:val="20"/>
              </w:rPr>
              <w:t xml:space="preserve">Post-Cement</w:t>
            </w:r>
          </w:p>
        </w:tc>
        <w:tc>
          <w:tcPr>
            <w:tcW w:type="dxa" w:w="596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r>
              <w:rPr>
                <w:rFonts w:ascii="Arial" w:cs="Arial" w:eastAsia="Arial" w:hAnsi="Arial"/>
                <w:b w:val="false"/>
                <w:bCs w:val="false"/>
                <w:sz w:val="20"/>
                <w:szCs w:val="20"/>
              </w:rPr>
              <w:t xml:space="preserve">Activities conducted after the cement job is complete. This includes waiting on cement (WOC) to allow the slurry to set and develop sufficient compressive strength, pressure testing the casing to verify integrity, and drilling out the cement, float collar, and float shoe to proceed to the next hole section.</w:t>
            </w:r>
          </w:p>
        </w:tc>
      </w:tr>
      <w:tr>
        <w:tc>
          <w:tcPr>
            <w:tcW w:type="dxa" w:w="16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bCs/>
                <w:sz w:val="20"/>
                <w:szCs w:val="20"/>
              </w:rPr>
              <w:t xml:space="preserve">SIDETRACK</w:t>
            </w:r>
          </w:p>
        </w:tc>
        <w:tc>
          <w:tcPr>
            <w:tcW w:type="dxa" w:w="18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Sidetrack</w:t>
            </w:r>
          </w:p>
        </w:tc>
        <w:tc>
          <w:tcPr>
            <w:tcW w:type="dxa" w:w="596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Intentionally deviating the wellbore from the existing hole, typically from the pilot hole, to drill in a new direction. A sidetrack may be initiated using a whipstock, cement plug, or by directional drilling off the bottom of the existing hole. It allows the operator to redirect the well based on information gathered from the pilot hole.</w:t>
            </w:r>
          </w:p>
        </w:tc>
      </w:tr>
      <w:tr>
        <w:tc>
          <w:tcPr>
            <w:tcW w:type="dxa" w:w="160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r>
              <w:rPr>
                <w:rFonts w:ascii="Arial" w:cs="Arial" w:eastAsia="Arial" w:hAnsi="Arial"/>
                <w:b/>
                <w:bCs/>
                <w:sz w:val="20"/>
                <w:szCs w:val="20"/>
              </w:rPr>
              <w:t xml:space="preserve">RIG DOWN</w:t>
            </w:r>
          </w:p>
        </w:tc>
        <w:tc>
          <w:tcPr>
            <w:tcW w:type="dxa" w:w="180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r>
              <w:rPr>
                <w:rFonts w:ascii="Arial" w:cs="Arial" w:eastAsia="Arial" w:hAnsi="Arial"/>
                <w:b w:val="false"/>
                <w:bCs w:val="false"/>
                <w:sz w:val="20"/>
                <w:szCs w:val="20"/>
              </w:rPr>
              <w:t xml:space="preserve">Rig Down</w:t>
            </w:r>
          </w:p>
        </w:tc>
        <w:tc>
          <w:tcPr>
            <w:tcW w:type="dxa" w:w="596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r>
              <w:rPr>
                <w:rFonts w:ascii="Arial" w:cs="Arial" w:eastAsia="Arial" w:hAnsi="Arial"/>
                <w:b w:val="false"/>
                <w:bCs w:val="false"/>
                <w:sz w:val="20"/>
                <w:szCs w:val="20"/>
              </w:rPr>
              <w:t xml:space="preserve">Disassembling and dismantling the drilling rig and all associated equipment from the well site. This includes laying down the BOP, dismantling the mast/derrick, draining and cleaning mud tanks, disconnecting utilities, and staging all equipment for transport off location.</w:t>
            </w:r>
          </w:p>
        </w:tc>
      </w:tr>
    </w:tbl>
    <w:p>
      <w:r>
        <w:br w:type="page"/>
      </w:r>
    </w:p>
    <w:p>
      <w:pPr>
        <w:pStyle w:val="Heading1"/>
      </w:pPr>
      <w:r>
        <w:t xml:space="preserve">3. Comprehensive Drilling Process Description</w:t>
      </w:r>
    </w:p>
    <w:p>
      <w:pPr>
        <w:spacing w:before="80" w:after="80"/>
      </w:pPr>
      <w:r>
        <w:rPr>
          <w:rFonts w:ascii="Arial" w:cs="Arial" w:eastAsia="Arial" w:hAnsi="Arial"/>
          <w:sz w:val="22"/>
          <w:szCs w:val="22"/>
        </w:rPr>
        <w:t xml:space="preserve">This section describes the end-to-end drilling process for a typical well, walking through each phase and its constituent steps in the order they are executed. While every well is unique and some phases may be added, omitted, or repeated based on the well design and subsurface conditions, the general sequence described below represents the standard workflow.</w:t>
      </w:r>
    </w:p>
    <w:p>
      <w:pPr>
        <w:pStyle w:val="Heading2"/>
      </w:pPr>
      <w:r>
        <w:t xml:space="preserve">3.1 Mobilization (MOB)</w:t>
      </w:r>
    </w:p>
    <w:p>
      <w:pPr>
        <w:pStyle w:val="Heading3"/>
      </w:pPr>
      <w:r>
        <w:t xml:space="preserve">3.1.1 Rig Up</w:t>
      </w:r>
    </w:p>
    <w:p>
      <w:pPr>
        <w:spacing w:before="80" w:after="80"/>
      </w:pPr>
      <w:r>
        <w:rPr>
          <w:rFonts w:ascii="Arial" w:cs="Arial" w:eastAsia="Arial" w:hAnsi="Arial"/>
          <w:sz w:val="22"/>
          <w:szCs w:val="22"/>
        </w:rPr>
        <w:t xml:space="preserve">The drilling operation begins with mobilization. The drilling rig and all associated equipment are transported to the prepared well site. The rig-up process involves erecting the mast or derrick, assembling the substructure, installing the draw works, top drive or rotary table, and connecting the mud circulation system (mud pumps, tanks, shale shakers, and solids control equipment). The blowout preventer (BOP) stack is installed and function-tested, all safety systems are checked, and a pre-spud meeting is held with all crew members to review the well plan, hazard assessments, and emergency procedures.</w:t>
      </w:r>
    </w:p>
    <w:p>
      <w:pPr>
        <w:pStyle w:val="Heading3"/>
      </w:pPr>
      <w:r>
        <w:t xml:space="preserve">3.1.2 Rig Move</w:t>
      </w:r>
    </w:p>
    <w:p>
      <w:pPr>
        <w:spacing w:before="80" w:after="80"/>
      </w:pPr>
      <w:r>
        <w:rPr>
          <w:rFonts w:ascii="Arial" w:cs="Arial" w:eastAsia="Arial" w:hAnsi="Arial"/>
          <w:sz w:val="22"/>
          <w:szCs w:val="22"/>
        </w:rPr>
        <w:t xml:space="preserve">In multi-well pad operations, the rig may need to be moved (skidded or walked) between wells on the same pad. This step is also used when the rig is relocated from a previous well site to the current one. The move includes disconnecting utilities, releasing the BOP, skidding or transporting the rig to the new well center, re-leveling, reconnecting systems, and recommissioning all equipment.</w:t>
      </w:r>
    </w:p>
    <w:p>
      <w:pPr>
        <w:pStyle w:val="Heading2"/>
      </w:pPr>
      <w:r>
        <w:t xml:space="preserve">3.2 Surface Hole (SURF)</w:t>
      </w:r>
    </w:p>
    <w:p>
      <w:pPr>
        <w:pStyle w:val="Heading3"/>
      </w:pPr>
      <w:r>
        <w:t xml:space="preserve">3.2.1 Pre-Drill</w:t>
      </w:r>
    </w:p>
    <w:p>
      <w:pPr>
        <w:spacing w:before="80" w:after="80"/>
      </w:pPr>
      <w:r>
        <w:rPr>
          <w:rFonts w:ascii="Arial" w:cs="Arial" w:eastAsia="Arial" w:hAnsi="Arial"/>
          <w:sz w:val="22"/>
          <w:szCs w:val="22"/>
        </w:rPr>
        <w:t xml:space="preserve">Before drilling the surface hole, the crew performs preparatory work. This typically includes making up the surface-hole bottom-hole assembly (BHA), which often consists of a large-diameter drill bit, stabilizers, and a mud motor or rotary steerable system if directional control is needed from surface. The drilling fluid system is mixed and conditioned, the conductor pipe (if pre-set) is verified, and all pre-spud checklists are completed.</w:t>
      </w:r>
    </w:p>
    <w:p>
      <w:pPr>
        <w:pStyle w:val="Heading3"/>
      </w:pPr>
      <w:r>
        <w:t xml:space="preserve">3.2.2 Drill</w:t>
      </w:r>
    </w:p>
    <w:p>
      <w:pPr>
        <w:spacing w:before="80" w:after="80"/>
      </w:pPr>
      <w:r>
        <w:rPr>
          <w:rFonts w:ascii="Arial" w:cs="Arial" w:eastAsia="Arial" w:hAnsi="Arial"/>
          <w:sz w:val="22"/>
          <w:szCs w:val="22"/>
        </w:rPr>
        <w:t xml:space="preserve">Drilling commences from surface (spud). The surface hole is the shallowest section and is typically drilled with a large-diameter bit (e.g., 17-1/2” or 26”) at a relatively fast rate of penetration through shallow, unconsolidated formations. Drilling fluid (mud) is circulated to carry cuttings to surface, cool the bit, and maintain hydrostatic pressure. The target depth for the surface hole is determined by regulatory requirements (typically below the deepest freshwater aquifer) and engineering considerations.</w:t>
      </w:r>
    </w:p>
    <w:p>
      <w:pPr>
        <w:pStyle w:val="Heading3"/>
      </w:pPr>
      <w:r>
        <w:t xml:space="preserve">3.2.3 Post-Drill</w:t>
      </w:r>
    </w:p>
    <w:p>
      <w:pPr>
        <w:spacing w:before="80" w:after="80"/>
      </w:pPr>
      <w:r>
        <w:rPr>
          <w:rFonts w:ascii="Arial" w:cs="Arial" w:eastAsia="Arial" w:hAnsi="Arial"/>
          <w:sz w:val="22"/>
          <w:szCs w:val="22"/>
        </w:rPr>
        <w:t xml:space="preserve">After reaching the target depth for the surface hole, the crew circulates the hole clean (circulating bottoms-up), performs wiper trips to ensure the hole is in gauge and free of tight spots, and conditions the mud for casing operations. If any washouts or instability is observed, remedial action may be taken before proceeding.</w:t>
      </w:r>
    </w:p>
    <w:p>
      <w:pPr>
        <w:pStyle w:val="Heading3"/>
      </w:pPr>
      <w:r>
        <w:t xml:space="preserve">3.2.4 Run Casing</w:t>
      </w:r>
    </w:p>
    <w:p>
      <w:pPr>
        <w:spacing w:before="80" w:after="80"/>
      </w:pPr>
      <w:r>
        <w:rPr>
          <w:rFonts w:ascii="Arial" w:cs="Arial" w:eastAsia="Arial" w:hAnsi="Arial"/>
          <w:sz w:val="22"/>
          <w:szCs w:val="22"/>
        </w:rPr>
        <w:t xml:space="preserve">Surface casing (typically a large-diameter pipe such as 13-3/8” or 20”) is run into the hole. Each joint is picked up from the pipe racks, stabbed, and made up to the specified torque. Centralizers are installed at designated intervals to ensure the casing is centered in the borehole for effective cement placement. A float shoe and float collar are installed at the bottom of the string to facilitate cementing and prevent backflow.</w:t>
      </w:r>
    </w:p>
    <w:p>
      <w:pPr>
        <w:pStyle w:val="Heading3"/>
      </w:pPr>
      <w:r>
        <w:t xml:space="preserve">3.2.5 Cement</w:t>
      </w:r>
    </w:p>
    <w:p>
      <w:pPr>
        <w:spacing w:before="80" w:after="80"/>
      </w:pPr>
      <w:r>
        <w:rPr>
          <w:rFonts w:ascii="Arial" w:cs="Arial" w:eastAsia="Arial" w:hAnsi="Arial"/>
          <w:sz w:val="22"/>
          <w:szCs w:val="22"/>
        </w:rPr>
        <w:t xml:space="preserve">Cement slurry is pumped down the inside of the casing, through the float shoe, and up the annular space between the casing and the borehole wall. A spacer or wash fluid is typically pumped ahead of the cement to clean the annulus of mud and improve cement bonding. Surface casing cement is usually brought back to surface (full returns) to provide maximum protection for shallow aquifers and structural support for the wellhead. After displacement, the cement is allowed to set (wait on cement) before drilling out the shoe track and proceeding to the next section.</w:t>
      </w:r>
    </w:p>
    <w:p>
      <w:pPr>
        <w:pStyle w:val="Heading2"/>
      </w:pPr>
      <w:r>
        <w:t xml:space="preserve">3.3 Pilot Hole (PILOT) — Optional</w:t>
      </w:r>
    </w:p>
    <w:p>
      <w:pPr>
        <w:pStyle w:val="Heading3"/>
      </w:pPr>
      <w:r>
        <w:t xml:space="preserve">3.3.1 Pre-Drill</w:t>
      </w:r>
    </w:p>
    <w:p>
      <w:pPr>
        <w:spacing w:before="80" w:after="80"/>
      </w:pPr>
      <w:r>
        <w:rPr>
          <w:rFonts w:ascii="Arial" w:cs="Arial" w:eastAsia="Arial" w:hAnsi="Arial"/>
          <w:sz w:val="22"/>
          <w:szCs w:val="22"/>
        </w:rPr>
        <w:t xml:space="preserve">When a pilot hole is part of the well plan, preparatory work includes making up a smaller-diameter BHA designed for the pilot section. The pilot hole is typically drilled with a bit size smaller than the planned final hole size to allow evaluation of the formations before committing to the full-gauge wellbore.</w:t>
      </w:r>
    </w:p>
    <w:p>
      <w:pPr>
        <w:pStyle w:val="Heading3"/>
      </w:pPr>
      <w:r>
        <w:t xml:space="preserve">3.3.2 Drill</w:t>
      </w:r>
    </w:p>
    <w:p>
      <w:pPr>
        <w:spacing w:before="80" w:after="80"/>
      </w:pPr>
      <w:r>
        <w:rPr>
          <w:rFonts w:ascii="Arial" w:cs="Arial" w:eastAsia="Arial" w:hAnsi="Arial"/>
          <w:sz w:val="22"/>
          <w:szCs w:val="22"/>
        </w:rPr>
        <w:t xml:space="preserve">The pilot hole is drilled through the zone of interest. Because the pilot hole is smaller and intended primarily for evaluation, it is drilled with a focus on obtaining high-quality data rather than maximizing penetration rate. Drilling parameters are carefully controlled to minimize formation damage and ensure representative log and sample data.</w:t>
      </w:r>
    </w:p>
    <w:p>
      <w:pPr>
        <w:pStyle w:val="Heading3"/>
      </w:pPr>
      <w:r>
        <w:t xml:space="preserve">3.3.3 Post-Drill</w:t>
      </w:r>
    </w:p>
    <w:p>
      <w:pPr>
        <w:spacing w:before="80" w:after="80"/>
      </w:pPr>
      <w:r>
        <w:rPr>
          <w:rFonts w:ascii="Arial" w:cs="Arial" w:eastAsia="Arial" w:hAnsi="Arial"/>
          <w:sz w:val="22"/>
          <w:szCs w:val="22"/>
        </w:rPr>
        <w:t xml:space="preserve">The hole is circulated clean and conditioned in preparation for logging operations. The drilling assembly is pulled out of the hole, and the wellbore is prepared for wireline tools.</w:t>
      </w:r>
    </w:p>
    <w:p>
      <w:pPr>
        <w:pStyle w:val="Heading3"/>
      </w:pPr>
      <w:r>
        <w:t xml:space="preserve">3.3.4 Log</w:t>
      </w:r>
    </w:p>
    <w:p>
      <w:pPr>
        <w:spacing w:before="80" w:after="80"/>
      </w:pPr>
      <w:r>
        <w:rPr>
          <w:rFonts w:ascii="Arial" w:cs="Arial" w:eastAsia="Arial" w:hAnsi="Arial"/>
          <w:sz w:val="22"/>
          <w:szCs w:val="22"/>
        </w:rPr>
        <w:t xml:space="preserve">Wireline logging tools are run in the open pilot hole to measure formation properties. A typical logging suite may include gamma ray, resistivity, density, neutron porosity, sonic, and formation imaging tools. The data acquired is used to confirm geological targets, identify the productive interval, characterize rock properties, and refine the well plan for subsequent sections.</w:t>
      </w:r>
    </w:p>
    <w:p>
      <w:pPr>
        <w:pStyle w:val="Heading3"/>
      </w:pPr>
      <w:r>
        <w:t xml:space="preserve">3.3.5 Cement</w:t>
      </w:r>
    </w:p>
    <w:p>
      <w:pPr>
        <w:spacing w:before="80" w:after="80"/>
      </w:pPr>
      <w:r>
        <w:rPr>
          <w:rFonts w:ascii="Arial" w:cs="Arial" w:eastAsia="Arial" w:hAnsi="Arial"/>
          <w:sz w:val="22"/>
          <w:szCs w:val="22"/>
        </w:rPr>
        <w:t xml:space="preserve">A cement plug may be placed in the pilot hole, either to abandon the pilot section or to provide a kickoff point for the sidetrack. The cement must develop sufficient compressive strength to support the directional assembly during the sidetrack operation.</w:t>
      </w:r>
    </w:p>
    <w:p>
      <w:pPr>
        <w:pStyle w:val="Heading3"/>
      </w:pPr>
      <w:r>
        <w:t xml:space="preserve">3.3.6 Post-Cement</w:t>
      </w:r>
    </w:p>
    <w:p>
      <w:pPr>
        <w:spacing w:before="80" w:after="80"/>
      </w:pPr>
      <w:r>
        <w:rPr>
          <w:rFonts w:ascii="Arial" w:cs="Arial" w:eastAsia="Arial" w:hAnsi="Arial"/>
          <w:sz w:val="22"/>
          <w:szCs w:val="22"/>
        </w:rPr>
        <w:t xml:space="preserve">After the cement plug has set, the crew verifies the plug by tagging it with the drill string and pressure testing. The plug’s integrity and position are confirmed before the sidetrack operation begins.</w:t>
      </w:r>
    </w:p>
    <w:p>
      <w:pPr>
        <w:pStyle w:val="Heading3"/>
      </w:pPr>
      <w:r>
        <w:t xml:space="preserve">3.3.7 Sidetrack</w:t>
      </w:r>
    </w:p>
    <w:p>
      <w:pPr>
        <w:spacing w:before="80" w:after="80"/>
      </w:pPr>
      <w:r>
        <w:rPr>
          <w:rFonts w:ascii="Arial" w:cs="Arial" w:eastAsia="Arial" w:hAnsi="Arial"/>
          <w:sz w:val="22"/>
          <w:szCs w:val="22"/>
        </w:rPr>
        <w:t xml:space="preserve">Using the information gathered from the pilot hole logs, the wellbore is sidetracked in the desired direction. This is accomplished by setting a whipstock on the cement plug or by using a bent motor assembly to kick off from the existing hole. The sidetrack initiates the new wellbore trajectory that will be carried forward into the intermediate and/or production sections.</w:t>
      </w:r>
    </w:p>
    <w:p>
      <w:pPr>
        <w:pStyle w:val="Heading2"/>
      </w:pPr>
      <w:r>
        <w:t xml:space="preserve">3.4 Intermediate Hole 1 (INT)</w:t>
      </w:r>
    </w:p>
    <w:p>
      <w:pPr>
        <w:pStyle w:val="Heading3"/>
      </w:pPr>
      <w:r>
        <w:t xml:space="preserve">3.4.1 Pre-Drill</w:t>
      </w:r>
    </w:p>
    <w:p>
      <w:pPr>
        <w:spacing w:before="80" w:after="80"/>
      </w:pPr>
      <w:r>
        <w:rPr>
          <w:rFonts w:ascii="Arial" w:cs="Arial" w:eastAsia="Arial" w:hAnsi="Arial"/>
          <w:sz w:val="22"/>
          <w:szCs w:val="22"/>
        </w:rPr>
        <w:t xml:space="preserve">The bottom-hole assembly is configured for the intermediate section, typically a smaller bit than the surface hole (e.g., 12-1/4” or 14-3/4”). Directional tools are included if the well plan calls for building angle in this section. BOP tests are performed after nippling up to the surface casing, and all systems are verified.</w:t>
      </w:r>
    </w:p>
    <w:p>
      <w:pPr>
        <w:pStyle w:val="Heading3"/>
      </w:pPr>
      <w:r>
        <w:t xml:space="preserve">3.4.2 Drill</w:t>
      </w:r>
    </w:p>
    <w:p>
      <w:pPr>
        <w:spacing w:before="80" w:after="80"/>
      </w:pPr>
      <w:r>
        <w:rPr>
          <w:rFonts w:ascii="Arial" w:cs="Arial" w:eastAsia="Arial" w:hAnsi="Arial"/>
          <w:sz w:val="22"/>
          <w:szCs w:val="22"/>
        </w:rPr>
        <w:t xml:space="preserve">The intermediate hole is drilled from the surface casing shoe to the planned intermediate casing point. This section often passes through formations that present drilling challenges such as high-pressure zones, reactive shales, or lost-circulation intervals. The drilling fluid program is carefully managed, often transitioning from a simple water-based mud to a more inhibitive or weighted system. Equivalent circulating density (ECD) is closely monitored to stay within the safe operating window between pore pressure and fracture gradient.</w:t>
      </w:r>
    </w:p>
    <w:p>
      <w:pPr>
        <w:pStyle w:val="Heading3"/>
      </w:pPr>
      <w:r>
        <w:t xml:space="preserve">3.4.3 Drill Curve</w:t>
      </w:r>
    </w:p>
    <w:p>
      <w:pPr>
        <w:spacing w:before="80" w:after="80"/>
      </w:pPr>
      <w:r>
        <w:rPr>
          <w:rFonts w:ascii="Arial" w:cs="Arial" w:eastAsia="Arial" w:hAnsi="Arial"/>
          <w:sz w:val="22"/>
          <w:szCs w:val="22"/>
        </w:rPr>
        <w:t xml:space="preserve">In some well designs, the curve or build section begins within the intermediate hole. The wellbore trajectory is gradually turned from vertical to a higher inclination angle using directional drilling tools. Build rates, toolface orientation, and survey data are continuously monitored and adjusted to follow the planned well path.</w:t>
      </w:r>
    </w:p>
    <w:p>
      <w:pPr>
        <w:pStyle w:val="Heading3"/>
      </w:pPr>
      <w:r>
        <w:t xml:space="preserve">3.4.4 Post-Drill</w:t>
      </w:r>
    </w:p>
    <w:p>
      <w:pPr>
        <w:spacing w:before="80" w:after="80"/>
      </w:pPr>
      <w:r>
        <w:rPr>
          <w:rFonts w:ascii="Arial" w:cs="Arial" w:eastAsia="Arial" w:hAnsi="Arial"/>
          <w:sz w:val="22"/>
          <w:szCs w:val="22"/>
        </w:rPr>
        <w:t xml:space="preserve">After reaching the target depth, the hole is circulated clean, wiper trips are performed, and the mud is conditioned for casing. In deviated holes, particular attention is paid to hole cleaning in high-angle sections where cuttings can accumulate on the low side of the hole.</w:t>
      </w:r>
    </w:p>
    <w:p>
      <w:pPr>
        <w:pStyle w:val="Heading3"/>
      </w:pPr>
      <w:r>
        <w:t xml:space="preserve">3.4.5 Run Casing</w:t>
      </w:r>
    </w:p>
    <w:p>
      <w:pPr>
        <w:spacing w:before="80" w:after="80"/>
      </w:pPr>
      <w:r>
        <w:rPr>
          <w:rFonts w:ascii="Arial" w:cs="Arial" w:eastAsia="Arial" w:hAnsi="Arial"/>
          <w:sz w:val="22"/>
          <w:szCs w:val="22"/>
        </w:rPr>
        <w:t xml:space="preserve">Intermediate casing (e.g., 9-5/8” or 11-3/4”) is run to the section’s total depth. In directional wells, running casing through the build section can be challenging due to drag and friction. Centralizers, flotation devices, and casing running tools may be employed to ensure the casing reaches bottom.</w:t>
      </w:r>
    </w:p>
    <w:p>
      <w:pPr>
        <w:pStyle w:val="Heading3"/>
      </w:pPr>
      <w:r>
        <w:t xml:space="preserve">3.4.6 Cement</w:t>
      </w:r>
    </w:p>
    <w:p>
      <w:pPr>
        <w:spacing w:before="80" w:after="80"/>
      </w:pPr>
      <w:r>
        <w:rPr>
          <w:rFonts w:ascii="Arial" w:cs="Arial" w:eastAsia="Arial" w:hAnsi="Arial"/>
          <w:sz w:val="22"/>
          <w:szCs w:val="22"/>
        </w:rPr>
        <w:t xml:space="preserve">The intermediate casing is cemented in place. The cement column height is designed to provide adequate zonal isolation, typically covering the entire annulus or at least the critical intervals. Cement evaluation logs (such as CBL/VDL or ultrasonic tools) may be run after the cement has cured to verify the quality of the cement bond.</w:t>
      </w:r>
    </w:p>
    <w:p>
      <w:pPr>
        <w:pStyle w:val="Heading2"/>
      </w:pPr>
      <w:r>
        <w:t xml:space="preserve">3.5 Intermediate Hole 2 (INT2)</w:t>
      </w:r>
    </w:p>
    <w:p>
      <w:pPr>
        <w:spacing w:before="80" w:after="80"/>
      </w:pPr>
      <w:r>
        <w:rPr>
          <w:rFonts w:ascii="Arial" w:cs="Arial" w:eastAsia="Arial" w:hAnsi="Arial"/>
          <w:sz w:val="22"/>
          <w:szCs w:val="22"/>
        </w:rPr>
        <w:t xml:space="preserve">When the well design requires a second intermediate casing string, the INT2 phase follows the same general sequence as INT. This additional string is typically needed to isolate additional problem zones encountered deeper in the well, manage a narrowing pore pressure/fracture gradient window, or accommodate a complex casing design. The workflow follows the same Pre-Drill, Drill, Post-Drill, Log (if required), Run Casing, and Cement sequence described above, with hole sizes and casing diameters stepping down accordingly (e.g., from 12-1/4” hole / 9-5/8” casing down to 8-1/2” hole / 7” casing).</w:t>
      </w:r>
    </w:p>
    <w:p>
      <w:pPr>
        <w:pStyle w:val="Heading2"/>
      </w:pPr>
      <w:r>
        <w:t xml:space="preserve">3.6 Intermediate Hole 3 (INT3)</w:t>
      </w:r>
    </w:p>
    <w:p>
      <w:pPr>
        <w:spacing w:before="80" w:after="80"/>
      </w:pPr>
      <w:r>
        <w:rPr>
          <w:rFonts w:ascii="Arial" w:cs="Arial" w:eastAsia="Arial" w:hAnsi="Arial"/>
          <w:sz w:val="22"/>
          <w:szCs w:val="22"/>
        </w:rPr>
        <w:t xml:space="preserve">A third intermediate section is rare and reserved for very deep or geologically complex wells. The INT3 phase also follows the standard drilling workflow. By this point, the wellbore has been telescoped down through multiple casing strings, and the available hole size is reduced. Drilling and operational margins are tighter, and careful planning is required to ensure the final production section can still be drilled at an adequate diameter.</w:t>
      </w:r>
    </w:p>
    <w:p>
      <w:pPr>
        <w:pStyle w:val="Heading2"/>
      </w:pPr>
      <w:r>
        <w:t xml:space="preserve">3.7 Production Hole (PROD)</w:t>
      </w:r>
    </w:p>
    <w:p>
      <w:pPr>
        <w:pStyle w:val="Heading3"/>
      </w:pPr>
      <w:r>
        <w:t xml:space="preserve">3.7.1 Pre-Drill</w:t>
      </w:r>
    </w:p>
    <w:p>
      <w:pPr>
        <w:spacing w:before="80" w:after="80"/>
      </w:pPr>
      <w:r>
        <w:rPr>
          <w:rFonts w:ascii="Arial" w:cs="Arial" w:eastAsia="Arial" w:hAnsi="Arial"/>
          <w:sz w:val="22"/>
          <w:szCs w:val="22"/>
        </w:rPr>
        <w:t xml:space="preserve">The production BHA is assembled, which may include a rotary steerable system, MWD/LWD tools for real-time data, and a bit sized for the production section (commonly 6-1/8”, 6-3/4”, or 8-1/2”). This is the section that will penetrate the reservoir, so the mud system is optimized to minimize formation damage. In horizontal wells, geosteering plans and real-time geological support are put in place.</w:t>
      </w:r>
    </w:p>
    <w:p>
      <w:pPr>
        <w:pStyle w:val="Heading3"/>
      </w:pPr>
      <w:r>
        <w:t xml:space="preserve">3.7.2 Drill</w:t>
      </w:r>
    </w:p>
    <w:p>
      <w:pPr>
        <w:spacing w:before="80" w:after="80"/>
      </w:pPr>
      <w:r>
        <w:rPr>
          <w:rFonts w:ascii="Arial" w:cs="Arial" w:eastAsia="Arial" w:hAnsi="Arial"/>
          <w:sz w:val="22"/>
          <w:szCs w:val="22"/>
        </w:rPr>
        <w:t xml:space="preserve">Drilling of the production section commences from the shoe of the last intermediate casing. In vertical wells, this section is drilled straight to the target reservoir depth. In directional wells, the vertical or tangent portion of the production section is drilled first.</w:t>
      </w:r>
    </w:p>
    <w:p>
      <w:pPr>
        <w:pStyle w:val="Heading3"/>
      </w:pPr>
      <w:r>
        <w:t xml:space="preserve">3.7.3 Drill Curve</w:t>
      </w:r>
    </w:p>
    <w:p>
      <w:pPr>
        <w:spacing w:before="80" w:after="80"/>
      </w:pPr>
      <w:r>
        <w:rPr>
          <w:rFonts w:ascii="Arial" w:cs="Arial" w:eastAsia="Arial" w:hAnsi="Arial"/>
          <w:sz w:val="22"/>
          <w:szCs w:val="22"/>
        </w:rPr>
        <w:t xml:space="preserve">In horizontal wells, the curve section of the production hole builds the inclination from the existing angle (often already at some inclination from the intermediate sections) to near-horizontal (typically 85–90 degrees). This is a critical section requiring precise directional control. Build rates of 6–12 degrees per 100 feet are common. The landing point, where the wellbore enters the target formation at the desired inclination, is a key milestone.</w:t>
      </w:r>
    </w:p>
    <w:p>
      <w:pPr>
        <w:pStyle w:val="Heading3"/>
      </w:pPr>
      <w:r>
        <w:t xml:space="preserve">3.7.4 Drill Lateral</w:t>
      </w:r>
    </w:p>
    <w:p>
      <w:pPr>
        <w:spacing w:before="80" w:after="80"/>
      </w:pPr>
      <w:r>
        <w:rPr>
          <w:rFonts w:ascii="Arial" w:cs="Arial" w:eastAsia="Arial" w:hAnsi="Arial"/>
          <w:sz w:val="22"/>
          <w:szCs w:val="22"/>
        </w:rPr>
        <w:t xml:space="preserve">Once the wellbore has landed in the target zone at the desired inclination, drilling continues horizontally through the reservoir rock. Lateral lengths can range from a few thousand feet to over 15,000 feet (approximately 3 miles) in unconventional shale plays. Geosteering, the practice of adjusting the wellbore trajectory in real time based on LWD data and geological interpretation, is used to keep the wellbore within the most productive interval of the formation. Equivalent circulating density management, hole cleaning, and torque and drag management become increasingly challenging as the lateral extends.</w:t>
      </w:r>
    </w:p>
    <w:p>
      <w:pPr>
        <w:pStyle w:val="Heading3"/>
      </w:pPr>
      <w:r>
        <w:t xml:space="preserve">3.7.5 Post-Drill</w:t>
      </w:r>
    </w:p>
    <w:p>
      <w:pPr>
        <w:spacing w:before="80" w:after="80"/>
      </w:pPr>
      <w:r>
        <w:rPr>
          <w:rFonts w:ascii="Arial" w:cs="Arial" w:eastAsia="Arial" w:hAnsi="Arial"/>
          <w:sz w:val="22"/>
          <w:szCs w:val="22"/>
        </w:rPr>
        <w:t xml:space="preserve">After reaching the planned total measured depth of the lateral, the hole is circulated clean. In long horizontal sections, this may involve extensive circulation time, wiper trips, and the use of sweeps (high-viscosity mud pills) to ensure cuttings are removed. The hole must be in excellent condition before running production casing or liner.</w:t>
      </w:r>
    </w:p>
    <w:p>
      <w:pPr>
        <w:pStyle w:val="Heading3"/>
      </w:pPr>
      <w:r>
        <w:t xml:space="preserve">3.7.6 Run Casing</w:t>
      </w:r>
    </w:p>
    <w:p>
      <w:pPr>
        <w:spacing w:before="80" w:after="80"/>
      </w:pPr>
      <w:r>
        <w:rPr>
          <w:rFonts w:ascii="Arial" w:cs="Arial" w:eastAsia="Arial" w:hAnsi="Arial"/>
          <w:sz w:val="22"/>
          <w:szCs w:val="22"/>
        </w:rPr>
        <w:t xml:space="preserve">Production casing or a liner is run through the curve and lateral to the total depth. In long lateral wells, this is one of the most challenging operations due to friction and drag in the horizontal section. Flotation techniques (filling casing with lighter fluid or air to reduce buoyant weight), liner running tools, and casing centralization programs are used to get the casing to bottom.</w:t>
      </w:r>
    </w:p>
    <w:p>
      <w:pPr>
        <w:pStyle w:val="Heading3"/>
      </w:pPr>
      <w:r>
        <w:t xml:space="preserve">3.7.7 Cement</w:t>
      </w:r>
    </w:p>
    <w:p>
      <w:pPr>
        <w:spacing w:before="80" w:after="80"/>
      </w:pPr>
      <w:r>
        <w:rPr>
          <w:rFonts w:ascii="Arial" w:cs="Arial" w:eastAsia="Arial" w:hAnsi="Arial"/>
          <w:sz w:val="22"/>
          <w:szCs w:val="22"/>
        </w:rPr>
        <w:t xml:space="preserve">The production casing or liner is cemented in place. Cement placement in horizontal sections is challenging because gravity causes the casing to sit on the low side of the hole, potentially leaving channels of uncemented annulus on the high side. Centralizer placement, spacer design, and pumping rates are optimized to achieve good cement coverage. The quality of the cement job directly impacts the success of subsequent completion operations such as hydraulic fracturing.</w:t>
      </w:r>
    </w:p>
    <w:p>
      <w:pPr>
        <w:pStyle w:val="Heading2"/>
      </w:pPr>
      <w:r>
        <w:t xml:space="preserve">3.8 Demobilization (DEMOB)</w:t>
      </w:r>
    </w:p>
    <w:p>
      <w:pPr>
        <w:pStyle w:val="Heading3"/>
      </w:pPr>
      <w:r>
        <w:t xml:space="preserve">3.8.1 Rig Down</w:t>
      </w:r>
    </w:p>
    <w:p>
      <w:pPr>
        <w:spacing w:before="80" w:after="80"/>
      </w:pPr>
      <w:r>
        <w:rPr>
          <w:rFonts w:ascii="Arial" w:cs="Arial" w:eastAsia="Arial" w:hAnsi="Arial"/>
          <w:sz w:val="22"/>
          <w:szCs w:val="22"/>
        </w:rPr>
        <w:t xml:space="preserve">With the well drilled, cased, and cemented, the drilling rig’s work is complete. The rig-down process involves removing the BOP stack, laying down the mast or derrick, disassembling the substructure, draining and cleaning the mud system, and staging all equipment for transport. The well is typically left with a wellhead and valve assembly (Christmas tree or frac tree) installed, ready for the completion crew. Site cleanup and any required environmental restoration are also performed during demobilization.</w:t>
      </w:r>
    </w:p>
    <w:p>
      <w:r>
        <w:br w:type="page"/>
      </w:r>
    </w:p>
    <w:p>
      <w:pPr>
        <w:pStyle w:val="Heading1"/>
      </w:pPr>
      <w:r>
        <w:t xml:space="preserve">4. Phase and Step Matrix</w:t>
      </w:r>
    </w:p>
    <w:p>
      <w:pPr>
        <w:spacing w:before="120" w:after="200"/>
      </w:pPr>
      <w:r>
        <w:rPr>
          <w:rFonts w:ascii="Arial" w:cs="Arial" w:eastAsia="Arial" w:hAnsi="Arial"/>
          <w:i/>
          <w:iCs/>
          <w:color w:val="555555"/>
          <w:sz w:val="22"/>
          <w:szCs w:val="22"/>
        </w:rPr>
        <w:t xml:space="preserve">The following matrix shows which phase steps apply to each phase, providing a quick-reference view of the overall drilling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70"/>
        <w:gridCol w:w="970"/>
        <w:gridCol w:w="970"/>
        <w:gridCol w:w="970"/>
        <w:gridCol w:w="970"/>
        <w:gridCol w:w="970"/>
        <w:gridCol w:w="970"/>
        <w:gridCol w:w="970"/>
      </w:tblGrid>
      <w:tr>
        <w:tc>
          <w:tcPr>
            <w:tcW w:type="dxa" w:w="1600"/>
            <w:tcBorders>
              <w:top w:val="single" w:color="B0C4DE" w:sz="1"/>
              <w:left w:val="single" w:color="B0C4DE" w:sz="1"/>
              <w:bottom w:val="single" w:color="B0C4DE" w:sz="1"/>
              <w:right w:val="single" w:color="B0C4DE"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Step \ Phase</w:t>
            </w:r>
          </w:p>
        </w:tc>
        <w:tc>
          <w:tcPr>
            <w:tcW w:type="dxa" w:w="970"/>
            <w:tcBorders>
              <w:top w:val="single" w:color="B0C4DE" w:sz="1"/>
              <w:left w:val="single" w:color="B0C4DE" w:sz="1"/>
              <w:bottom w:val="single" w:color="B0C4DE" w:sz="1"/>
              <w:right w:val="single" w:color="B0C4DE"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MOB</w:t>
            </w:r>
          </w:p>
        </w:tc>
        <w:tc>
          <w:tcPr>
            <w:tcW w:type="dxa" w:w="970"/>
            <w:tcBorders>
              <w:top w:val="single" w:color="B0C4DE" w:sz="1"/>
              <w:left w:val="single" w:color="B0C4DE" w:sz="1"/>
              <w:bottom w:val="single" w:color="B0C4DE" w:sz="1"/>
              <w:right w:val="single" w:color="B0C4DE"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SURF</w:t>
            </w:r>
          </w:p>
        </w:tc>
        <w:tc>
          <w:tcPr>
            <w:tcW w:type="dxa" w:w="970"/>
            <w:tcBorders>
              <w:top w:val="single" w:color="B0C4DE" w:sz="1"/>
              <w:left w:val="single" w:color="B0C4DE" w:sz="1"/>
              <w:bottom w:val="single" w:color="B0C4DE" w:sz="1"/>
              <w:right w:val="single" w:color="B0C4DE"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PILOT</w:t>
            </w:r>
          </w:p>
        </w:tc>
        <w:tc>
          <w:tcPr>
            <w:tcW w:type="dxa" w:w="970"/>
            <w:tcBorders>
              <w:top w:val="single" w:color="B0C4DE" w:sz="1"/>
              <w:left w:val="single" w:color="B0C4DE" w:sz="1"/>
              <w:bottom w:val="single" w:color="B0C4DE" w:sz="1"/>
              <w:right w:val="single" w:color="B0C4DE"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INT</w:t>
            </w:r>
          </w:p>
        </w:tc>
        <w:tc>
          <w:tcPr>
            <w:tcW w:type="dxa" w:w="970"/>
            <w:tcBorders>
              <w:top w:val="single" w:color="B0C4DE" w:sz="1"/>
              <w:left w:val="single" w:color="B0C4DE" w:sz="1"/>
              <w:bottom w:val="single" w:color="B0C4DE" w:sz="1"/>
              <w:right w:val="single" w:color="B0C4DE"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INT2</w:t>
            </w:r>
          </w:p>
        </w:tc>
        <w:tc>
          <w:tcPr>
            <w:tcW w:type="dxa" w:w="970"/>
            <w:tcBorders>
              <w:top w:val="single" w:color="B0C4DE" w:sz="1"/>
              <w:left w:val="single" w:color="B0C4DE" w:sz="1"/>
              <w:bottom w:val="single" w:color="B0C4DE" w:sz="1"/>
              <w:right w:val="single" w:color="B0C4DE"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INT3</w:t>
            </w:r>
          </w:p>
        </w:tc>
        <w:tc>
          <w:tcPr>
            <w:tcW w:type="dxa" w:w="970"/>
            <w:tcBorders>
              <w:top w:val="single" w:color="B0C4DE" w:sz="1"/>
              <w:left w:val="single" w:color="B0C4DE" w:sz="1"/>
              <w:bottom w:val="single" w:color="B0C4DE" w:sz="1"/>
              <w:right w:val="single" w:color="B0C4DE"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PROD</w:t>
            </w:r>
          </w:p>
        </w:tc>
        <w:tc>
          <w:tcPr>
            <w:tcW w:type="dxa" w:w="970"/>
            <w:tcBorders>
              <w:top w:val="single" w:color="B0C4DE" w:sz="1"/>
              <w:left w:val="single" w:color="B0C4DE" w:sz="1"/>
              <w:bottom w:val="single" w:color="B0C4DE" w:sz="1"/>
              <w:right w:val="single" w:color="B0C4DE"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DEMOB</w:t>
            </w:r>
          </w:p>
        </w:tc>
      </w:tr>
      <w:tr>
        <w:tc>
          <w:tcPr>
            <w:tcW w:type="dxa" w:w="16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bCs/>
                <w:sz w:val="20"/>
                <w:szCs w:val="20"/>
              </w:rPr>
              <w:t xml:space="preserve">RIG UP</w:t>
            </w:r>
          </w:p>
        </w:tc>
        <w:tc>
          <w:tcPr>
            <w:tcW w:type="dxa" w:w="970"/>
            <w:tcBorders>
              <w:top w:val="single" w:color="B0C4DE" w:sz="1"/>
              <w:left w:val="single" w:color="B0C4DE" w:sz="1"/>
              <w:bottom w:val="single" w:color="B0C4DE" w:sz="1"/>
              <w:right w:val="single" w:color="B0C4DE" w:sz="1"/>
            </w:tcBorders>
            <w:shd w:fill="D4EFDF" w:val="clear"/>
            <w:tcMar>
              <w:top w:type="dxa" w:w="60"/>
              <w:left w:type="dxa" w:w="100"/>
              <w:bottom w:type="dxa" w:w="60"/>
              <w:right w:type="dxa" w:w="100"/>
            </w:tcMar>
          </w:tcPr>
          <w:p>
            <w:pPr>
              <w:jc w:val="center"/>
            </w:pPr>
            <w:r>
              <w:rPr>
                <w:rFonts w:ascii="Arial" w:cs="Arial" w:eastAsia="Arial" w:hAnsi="Arial"/>
                <w:b/>
                <w:bCs/>
                <w:color w:val="1E8449"/>
                <w:sz w:val="20"/>
                <w:szCs w:val="20"/>
              </w:rPr>
              <w:t xml:space="preserve">✓</w:t>
            </w:r>
          </w:p>
        </w:tc>
        <w:tc>
          <w:tcPr>
            <w:tcW w:type="dxa" w:w="97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r>
      <w:tr>
        <w:tc>
          <w:tcPr>
            <w:tcW w:type="dxa" w:w="160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r>
              <w:rPr>
                <w:rFonts w:ascii="Arial" w:cs="Arial" w:eastAsia="Arial" w:hAnsi="Arial"/>
                <w:b/>
                <w:bCs/>
                <w:sz w:val="20"/>
                <w:szCs w:val="20"/>
              </w:rPr>
              <w:t xml:space="preserve">MOVE</w:t>
            </w:r>
          </w:p>
        </w:tc>
        <w:tc>
          <w:tcPr>
            <w:tcW w:type="dxa" w:w="970"/>
            <w:tcBorders>
              <w:top w:val="single" w:color="B0C4DE" w:sz="1"/>
              <w:left w:val="single" w:color="B0C4DE" w:sz="1"/>
              <w:bottom w:val="single" w:color="B0C4DE" w:sz="1"/>
              <w:right w:val="single" w:color="B0C4DE" w:sz="1"/>
            </w:tcBorders>
            <w:shd w:fill="D4EFDF" w:val="clear"/>
            <w:tcMar>
              <w:top w:type="dxa" w:w="60"/>
              <w:left w:type="dxa" w:w="100"/>
              <w:bottom w:type="dxa" w:w="60"/>
              <w:right w:type="dxa" w:w="100"/>
            </w:tcMar>
          </w:tcPr>
          <w:p>
            <w:pPr>
              <w:jc w:val="center"/>
            </w:pPr>
            <w:r>
              <w:rPr>
                <w:rFonts w:ascii="Arial" w:cs="Arial" w:eastAsia="Arial" w:hAnsi="Arial"/>
                <w:b/>
                <w:bCs/>
                <w:color w:val="1E8449"/>
                <w:sz w:val="20"/>
                <w:szCs w:val="20"/>
              </w:rPr>
              <w:t xml:space="preserve">✓</w:t>
            </w:r>
          </w:p>
        </w:tc>
        <w:tc>
          <w:tcPr>
            <w:tcW w:type="dxa" w:w="97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r>
      <w:tr>
        <w:tc>
          <w:tcPr>
            <w:tcW w:type="dxa" w:w="16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bCs/>
                <w:sz w:val="20"/>
                <w:szCs w:val="20"/>
              </w:rPr>
              <w:t xml:space="preserve">PRE DRL</w:t>
            </w:r>
          </w:p>
        </w:tc>
        <w:tc>
          <w:tcPr>
            <w:tcW w:type="dxa" w:w="97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D4EFDF" w:val="clear"/>
            <w:tcMar>
              <w:top w:type="dxa" w:w="60"/>
              <w:left w:type="dxa" w:w="100"/>
              <w:bottom w:type="dxa" w:w="60"/>
              <w:right w:type="dxa" w:w="100"/>
            </w:tcMar>
          </w:tcPr>
          <w:p>
            <w:pPr>
              <w:jc w:val="center"/>
            </w:pPr>
            <w:r>
              <w:rPr>
                <w:rFonts w:ascii="Arial" w:cs="Arial" w:eastAsia="Arial" w:hAnsi="Arial"/>
                <w:b/>
                <w:bCs/>
                <w:color w:val="1E8449"/>
                <w:sz w:val="20"/>
                <w:szCs w:val="20"/>
              </w:rPr>
              <w:t xml:space="preserve">✓</w:t>
            </w:r>
          </w:p>
        </w:tc>
        <w:tc>
          <w:tcPr>
            <w:tcW w:type="dxa" w:w="970"/>
            <w:tcBorders>
              <w:top w:val="single" w:color="B0C4DE" w:sz="1"/>
              <w:left w:val="single" w:color="B0C4DE" w:sz="1"/>
              <w:bottom w:val="single" w:color="B0C4DE" w:sz="1"/>
              <w:right w:val="single" w:color="B0C4DE" w:sz="1"/>
            </w:tcBorders>
            <w:shd w:fill="D4EFDF" w:val="clear"/>
            <w:tcMar>
              <w:top w:type="dxa" w:w="60"/>
              <w:left w:type="dxa" w:w="100"/>
              <w:bottom w:type="dxa" w:w="60"/>
              <w:right w:type="dxa" w:w="100"/>
            </w:tcMar>
          </w:tcPr>
          <w:p>
            <w:pPr>
              <w:jc w:val="center"/>
            </w:pPr>
            <w:r>
              <w:rPr>
                <w:rFonts w:ascii="Arial" w:cs="Arial" w:eastAsia="Arial" w:hAnsi="Arial"/>
                <w:b/>
                <w:bCs/>
                <w:color w:val="1E8449"/>
                <w:sz w:val="20"/>
                <w:szCs w:val="20"/>
              </w:rPr>
              <w:t xml:space="preserve">✓</w:t>
            </w:r>
          </w:p>
        </w:tc>
        <w:tc>
          <w:tcPr>
            <w:tcW w:type="dxa" w:w="970"/>
            <w:tcBorders>
              <w:top w:val="single" w:color="B0C4DE" w:sz="1"/>
              <w:left w:val="single" w:color="B0C4DE" w:sz="1"/>
              <w:bottom w:val="single" w:color="B0C4DE" w:sz="1"/>
              <w:right w:val="single" w:color="B0C4DE" w:sz="1"/>
            </w:tcBorders>
            <w:shd w:fill="D4EFDF" w:val="clear"/>
            <w:tcMar>
              <w:top w:type="dxa" w:w="60"/>
              <w:left w:type="dxa" w:w="100"/>
              <w:bottom w:type="dxa" w:w="60"/>
              <w:right w:type="dxa" w:w="100"/>
            </w:tcMar>
          </w:tcPr>
          <w:p>
            <w:pPr>
              <w:jc w:val="center"/>
            </w:pPr>
            <w:r>
              <w:rPr>
                <w:rFonts w:ascii="Arial" w:cs="Arial" w:eastAsia="Arial" w:hAnsi="Arial"/>
                <w:b/>
                <w:bCs/>
                <w:color w:val="1E8449"/>
                <w:sz w:val="20"/>
                <w:szCs w:val="20"/>
              </w:rPr>
              <w:t xml:space="preserve">✓</w:t>
            </w:r>
          </w:p>
        </w:tc>
        <w:tc>
          <w:tcPr>
            <w:tcW w:type="dxa" w:w="970"/>
            <w:tcBorders>
              <w:top w:val="single" w:color="B0C4DE" w:sz="1"/>
              <w:left w:val="single" w:color="B0C4DE" w:sz="1"/>
              <w:bottom w:val="single" w:color="B0C4DE" w:sz="1"/>
              <w:right w:val="single" w:color="B0C4DE" w:sz="1"/>
            </w:tcBorders>
            <w:shd w:fill="D4EFDF" w:val="clear"/>
            <w:tcMar>
              <w:top w:type="dxa" w:w="60"/>
              <w:left w:type="dxa" w:w="100"/>
              <w:bottom w:type="dxa" w:w="60"/>
              <w:right w:type="dxa" w:w="100"/>
            </w:tcMar>
          </w:tcPr>
          <w:p>
            <w:pPr>
              <w:jc w:val="center"/>
            </w:pPr>
            <w:r>
              <w:rPr>
                <w:rFonts w:ascii="Arial" w:cs="Arial" w:eastAsia="Arial" w:hAnsi="Arial"/>
                <w:b/>
                <w:bCs/>
                <w:color w:val="1E8449"/>
                <w:sz w:val="20"/>
                <w:szCs w:val="20"/>
              </w:rPr>
              <w:t xml:space="preserve">✓</w:t>
            </w:r>
          </w:p>
        </w:tc>
        <w:tc>
          <w:tcPr>
            <w:tcW w:type="dxa" w:w="970"/>
            <w:tcBorders>
              <w:top w:val="single" w:color="B0C4DE" w:sz="1"/>
              <w:left w:val="single" w:color="B0C4DE" w:sz="1"/>
              <w:bottom w:val="single" w:color="B0C4DE" w:sz="1"/>
              <w:right w:val="single" w:color="B0C4DE" w:sz="1"/>
            </w:tcBorders>
            <w:shd w:fill="D4EFDF" w:val="clear"/>
            <w:tcMar>
              <w:top w:type="dxa" w:w="60"/>
              <w:left w:type="dxa" w:w="100"/>
              <w:bottom w:type="dxa" w:w="60"/>
              <w:right w:type="dxa" w:w="100"/>
            </w:tcMar>
          </w:tcPr>
          <w:p>
            <w:pPr>
              <w:jc w:val="center"/>
            </w:pPr>
            <w:r>
              <w:rPr>
                <w:rFonts w:ascii="Arial" w:cs="Arial" w:eastAsia="Arial" w:hAnsi="Arial"/>
                <w:b/>
                <w:bCs/>
                <w:color w:val="1E8449"/>
                <w:sz w:val="20"/>
                <w:szCs w:val="20"/>
              </w:rPr>
              <w:t xml:space="preserve">✓</w:t>
            </w:r>
          </w:p>
        </w:tc>
        <w:tc>
          <w:tcPr>
            <w:tcW w:type="dxa" w:w="970"/>
            <w:tcBorders>
              <w:top w:val="single" w:color="B0C4DE" w:sz="1"/>
              <w:left w:val="single" w:color="B0C4DE" w:sz="1"/>
              <w:bottom w:val="single" w:color="B0C4DE" w:sz="1"/>
              <w:right w:val="single" w:color="B0C4DE" w:sz="1"/>
            </w:tcBorders>
            <w:shd w:fill="D4EFDF" w:val="clear"/>
            <w:tcMar>
              <w:top w:type="dxa" w:w="60"/>
              <w:left w:type="dxa" w:w="100"/>
              <w:bottom w:type="dxa" w:w="60"/>
              <w:right w:type="dxa" w:w="100"/>
            </w:tcMar>
          </w:tcPr>
          <w:p>
            <w:pPr>
              <w:jc w:val="center"/>
            </w:pPr>
            <w:r>
              <w:rPr>
                <w:rFonts w:ascii="Arial" w:cs="Arial" w:eastAsia="Arial" w:hAnsi="Arial"/>
                <w:b/>
                <w:bCs/>
                <w:color w:val="1E8449"/>
                <w:sz w:val="20"/>
                <w:szCs w:val="20"/>
              </w:rPr>
              <w:t xml:space="preserve">✓</w:t>
            </w:r>
          </w:p>
        </w:tc>
        <w:tc>
          <w:tcPr>
            <w:tcW w:type="dxa" w:w="97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r>
      <w:tr>
        <w:tc>
          <w:tcPr>
            <w:tcW w:type="dxa" w:w="160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r>
              <w:rPr>
                <w:rFonts w:ascii="Arial" w:cs="Arial" w:eastAsia="Arial" w:hAnsi="Arial"/>
                <w:b/>
                <w:bCs/>
                <w:sz w:val="20"/>
                <w:szCs w:val="20"/>
              </w:rPr>
              <w:t xml:space="preserve">DRL</w:t>
            </w:r>
          </w:p>
        </w:tc>
        <w:tc>
          <w:tcPr>
            <w:tcW w:type="dxa" w:w="97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D4EFDF" w:val="clear"/>
            <w:tcMar>
              <w:top w:type="dxa" w:w="60"/>
              <w:left w:type="dxa" w:w="100"/>
              <w:bottom w:type="dxa" w:w="60"/>
              <w:right w:type="dxa" w:w="100"/>
            </w:tcMar>
          </w:tcPr>
          <w:p>
            <w:pPr>
              <w:jc w:val="center"/>
            </w:pPr>
            <w:r>
              <w:rPr>
                <w:rFonts w:ascii="Arial" w:cs="Arial" w:eastAsia="Arial" w:hAnsi="Arial"/>
                <w:b/>
                <w:bCs/>
                <w:color w:val="1E8449"/>
                <w:sz w:val="20"/>
                <w:szCs w:val="20"/>
              </w:rPr>
              <w:t xml:space="preserve">✓</w:t>
            </w:r>
          </w:p>
        </w:tc>
        <w:tc>
          <w:tcPr>
            <w:tcW w:type="dxa" w:w="970"/>
            <w:tcBorders>
              <w:top w:val="single" w:color="B0C4DE" w:sz="1"/>
              <w:left w:val="single" w:color="B0C4DE" w:sz="1"/>
              <w:bottom w:val="single" w:color="B0C4DE" w:sz="1"/>
              <w:right w:val="single" w:color="B0C4DE" w:sz="1"/>
            </w:tcBorders>
            <w:shd w:fill="D4EFDF" w:val="clear"/>
            <w:tcMar>
              <w:top w:type="dxa" w:w="60"/>
              <w:left w:type="dxa" w:w="100"/>
              <w:bottom w:type="dxa" w:w="60"/>
              <w:right w:type="dxa" w:w="100"/>
            </w:tcMar>
          </w:tcPr>
          <w:p>
            <w:pPr>
              <w:jc w:val="center"/>
            </w:pPr>
            <w:r>
              <w:rPr>
                <w:rFonts w:ascii="Arial" w:cs="Arial" w:eastAsia="Arial" w:hAnsi="Arial"/>
                <w:b/>
                <w:bCs/>
                <w:color w:val="1E8449"/>
                <w:sz w:val="20"/>
                <w:szCs w:val="20"/>
              </w:rPr>
              <w:t xml:space="preserve">✓</w:t>
            </w:r>
          </w:p>
        </w:tc>
        <w:tc>
          <w:tcPr>
            <w:tcW w:type="dxa" w:w="970"/>
            <w:tcBorders>
              <w:top w:val="single" w:color="B0C4DE" w:sz="1"/>
              <w:left w:val="single" w:color="B0C4DE" w:sz="1"/>
              <w:bottom w:val="single" w:color="B0C4DE" w:sz="1"/>
              <w:right w:val="single" w:color="B0C4DE" w:sz="1"/>
            </w:tcBorders>
            <w:shd w:fill="D4EFDF" w:val="clear"/>
            <w:tcMar>
              <w:top w:type="dxa" w:w="60"/>
              <w:left w:type="dxa" w:w="100"/>
              <w:bottom w:type="dxa" w:w="60"/>
              <w:right w:type="dxa" w:w="100"/>
            </w:tcMar>
          </w:tcPr>
          <w:p>
            <w:pPr>
              <w:jc w:val="center"/>
            </w:pPr>
            <w:r>
              <w:rPr>
                <w:rFonts w:ascii="Arial" w:cs="Arial" w:eastAsia="Arial" w:hAnsi="Arial"/>
                <w:b/>
                <w:bCs/>
                <w:color w:val="1E8449"/>
                <w:sz w:val="20"/>
                <w:szCs w:val="20"/>
              </w:rPr>
              <w:t xml:space="preserve">✓</w:t>
            </w:r>
          </w:p>
        </w:tc>
        <w:tc>
          <w:tcPr>
            <w:tcW w:type="dxa" w:w="970"/>
            <w:tcBorders>
              <w:top w:val="single" w:color="B0C4DE" w:sz="1"/>
              <w:left w:val="single" w:color="B0C4DE" w:sz="1"/>
              <w:bottom w:val="single" w:color="B0C4DE" w:sz="1"/>
              <w:right w:val="single" w:color="B0C4DE" w:sz="1"/>
            </w:tcBorders>
            <w:shd w:fill="D4EFDF" w:val="clear"/>
            <w:tcMar>
              <w:top w:type="dxa" w:w="60"/>
              <w:left w:type="dxa" w:w="100"/>
              <w:bottom w:type="dxa" w:w="60"/>
              <w:right w:type="dxa" w:w="100"/>
            </w:tcMar>
          </w:tcPr>
          <w:p>
            <w:pPr>
              <w:jc w:val="center"/>
            </w:pPr>
            <w:r>
              <w:rPr>
                <w:rFonts w:ascii="Arial" w:cs="Arial" w:eastAsia="Arial" w:hAnsi="Arial"/>
                <w:b/>
                <w:bCs/>
                <w:color w:val="1E8449"/>
                <w:sz w:val="20"/>
                <w:szCs w:val="20"/>
              </w:rPr>
              <w:t xml:space="preserve">✓</w:t>
            </w:r>
          </w:p>
        </w:tc>
        <w:tc>
          <w:tcPr>
            <w:tcW w:type="dxa" w:w="970"/>
            <w:tcBorders>
              <w:top w:val="single" w:color="B0C4DE" w:sz="1"/>
              <w:left w:val="single" w:color="B0C4DE" w:sz="1"/>
              <w:bottom w:val="single" w:color="B0C4DE" w:sz="1"/>
              <w:right w:val="single" w:color="B0C4DE" w:sz="1"/>
            </w:tcBorders>
            <w:shd w:fill="D4EFDF" w:val="clear"/>
            <w:tcMar>
              <w:top w:type="dxa" w:w="60"/>
              <w:left w:type="dxa" w:w="100"/>
              <w:bottom w:type="dxa" w:w="60"/>
              <w:right w:type="dxa" w:w="100"/>
            </w:tcMar>
          </w:tcPr>
          <w:p>
            <w:pPr>
              <w:jc w:val="center"/>
            </w:pPr>
            <w:r>
              <w:rPr>
                <w:rFonts w:ascii="Arial" w:cs="Arial" w:eastAsia="Arial" w:hAnsi="Arial"/>
                <w:b/>
                <w:bCs/>
                <w:color w:val="1E8449"/>
                <w:sz w:val="20"/>
                <w:szCs w:val="20"/>
              </w:rPr>
              <w:t xml:space="preserve">✓</w:t>
            </w:r>
          </w:p>
        </w:tc>
        <w:tc>
          <w:tcPr>
            <w:tcW w:type="dxa" w:w="970"/>
            <w:tcBorders>
              <w:top w:val="single" w:color="B0C4DE" w:sz="1"/>
              <w:left w:val="single" w:color="B0C4DE" w:sz="1"/>
              <w:bottom w:val="single" w:color="B0C4DE" w:sz="1"/>
              <w:right w:val="single" w:color="B0C4DE" w:sz="1"/>
            </w:tcBorders>
            <w:shd w:fill="D4EFDF" w:val="clear"/>
            <w:tcMar>
              <w:top w:type="dxa" w:w="60"/>
              <w:left w:type="dxa" w:w="100"/>
              <w:bottom w:type="dxa" w:w="60"/>
              <w:right w:type="dxa" w:w="100"/>
            </w:tcMar>
          </w:tcPr>
          <w:p>
            <w:pPr>
              <w:jc w:val="center"/>
            </w:pPr>
            <w:r>
              <w:rPr>
                <w:rFonts w:ascii="Arial" w:cs="Arial" w:eastAsia="Arial" w:hAnsi="Arial"/>
                <w:b/>
                <w:bCs/>
                <w:color w:val="1E8449"/>
                <w:sz w:val="20"/>
                <w:szCs w:val="20"/>
              </w:rPr>
              <w:t xml:space="preserve">✓</w:t>
            </w:r>
          </w:p>
        </w:tc>
        <w:tc>
          <w:tcPr>
            <w:tcW w:type="dxa" w:w="97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r>
      <w:tr>
        <w:tc>
          <w:tcPr>
            <w:tcW w:type="dxa" w:w="16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bCs/>
                <w:sz w:val="20"/>
                <w:szCs w:val="20"/>
              </w:rPr>
              <w:t xml:space="preserve">DRL CURVE</w:t>
            </w:r>
          </w:p>
        </w:tc>
        <w:tc>
          <w:tcPr>
            <w:tcW w:type="dxa" w:w="97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D4EFDF" w:val="clear"/>
            <w:tcMar>
              <w:top w:type="dxa" w:w="60"/>
              <w:left w:type="dxa" w:w="100"/>
              <w:bottom w:type="dxa" w:w="60"/>
              <w:right w:type="dxa" w:w="100"/>
            </w:tcMar>
          </w:tcPr>
          <w:p>
            <w:pPr>
              <w:jc w:val="center"/>
            </w:pPr>
            <w:r>
              <w:rPr>
                <w:rFonts w:ascii="Arial" w:cs="Arial" w:eastAsia="Arial" w:hAnsi="Arial"/>
                <w:b/>
                <w:bCs/>
                <w:color w:val="1E8449"/>
                <w:sz w:val="20"/>
                <w:szCs w:val="20"/>
              </w:rPr>
              <w:t xml:space="preserve">✓</w:t>
            </w:r>
          </w:p>
        </w:tc>
        <w:tc>
          <w:tcPr>
            <w:tcW w:type="dxa" w:w="97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D4EFDF" w:val="clear"/>
            <w:tcMar>
              <w:top w:type="dxa" w:w="60"/>
              <w:left w:type="dxa" w:w="100"/>
              <w:bottom w:type="dxa" w:w="60"/>
              <w:right w:type="dxa" w:w="100"/>
            </w:tcMar>
          </w:tcPr>
          <w:p>
            <w:pPr>
              <w:jc w:val="center"/>
            </w:pPr>
            <w:r>
              <w:rPr>
                <w:rFonts w:ascii="Arial" w:cs="Arial" w:eastAsia="Arial" w:hAnsi="Arial"/>
                <w:b/>
                <w:bCs/>
                <w:color w:val="1E8449"/>
                <w:sz w:val="20"/>
                <w:szCs w:val="20"/>
              </w:rPr>
              <w:t xml:space="preserve">✓</w:t>
            </w:r>
          </w:p>
        </w:tc>
        <w:tc>
          <w:tcPr>
            <w:tcW w:type="dxa" w:w="97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r>
      <w:tr>
        <w:tc>
          <w:tcPr>
            <w:tcW w:type="dxa" w:w="160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r>
              <w:rPr>
                <w:rFonts w:ascii="Arial" w:cs="Arial" w:eastAsia="Arial" w:hAnsi="Arial"/>
                <w:b/>
                <w:bCs/>
                <w:sz w:val="20"/>
                <w:szCs w:val="20"/>
              </w:rPr>
              <w:t xml:space="preserve">DRL LAT</w:t>
            </w:r>
          </w:p>
        </w:tc>
        <w:tc>
          <w:tcPr>
            <w:tcW w:type="dxa" w:w="97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D4EFDF" w:val="clear"/>
            <w:tcMar>
              <w:top w:type="dxa" w:w="60"/>
              <w:left w:type="dxa" w:w="100"/>
              <w:bottom w:type="dxa" w:w="60"/>
              <w:right w:type="dxa" w:w="100"/>
            </w:tcMar>
          </w:tcPr>
          <w:p>
            <w:pPr>
              <w:jc w:val="center"/>
            </w:pPr>
            <w:r>
              <w:rPr>
                <w:rFonts w:ascii="Arial" w:cs="Arial" w:eastAsia="Arial" w:hAnsi="Arial"/>
                <w:b/>
                <w:bCs/>
                <w:color w:val="1E8449"/>
                <w:sz w:val="20"/>
                <w:szCs w:val="20"/>
              </w:rPr>
              <w:t xml:space="preserve">✓</w:t>
            </w:r>
          </w:p>
        </w:tc>
        <w:tc>
          <w:tcPr>
            <w:tcW w:type="dxa" w:w="97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r>
      <w:tr>
        <w:tc>
          <w:tcPr>
            <w:tcW w:type="dxa" w:w="16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bCs/>
                <w:sz w:val="20"/>
                <w:szCs w:val="20"/>
              </w:rPr>
              <w:t xml:space="preserve">POST DRL</w:t>
            </w:r>
          </w:p>
        </w:tc>
        <w:tc>
          <w:tcPr>
            <w:tcW w:type="dxa" w:w="97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D4EFDF" w:val="clear"/>
            <w:tcMar>
              <w:top w:type="dxa" w:w="60"/>
              <w:left w:type="dxa" w:w="100"/>
              <w:bottom w:type="dxa" w:w="60"/>
              <w:right w:type="dxa" w:w="100"/>
            </w:tcMar>
          </w:tcPr>
          <w:p>
            <w:pPr>
              <w:jc w:val="center"/>
            </w:pPr>
            <w:r>
              <w:rPr>
                <w:rFonts w:ascii="Arial" w:cs="Arial" w:eastAsia="Arial" w:hAnsi="Arial"/>
                <w:b/>
                <w:bCs/>
                <w:color w:val="1E8449"/>
                <w:sz w:val="20"/>
                <w:szCs w:val="20"/>
              </w:rPr>
              <w:t xml:space="preserve">✓</w:t>
            </w:r>
          </w:p>
        </w:tc>
        <w:tc>
          <w:tcPr>
            <w:tcW w:type="dxa" w:w="970"/>
            <w:tcBorders>
              <w:top w:val="single" w:color="B0C4DE" w:sz="1"/>
              <w:left w:val="single" w:color="B0C4DE" w:sz="1"/>
              <w:bottom w:val="single" w:color="B0C4DE" w:sz="1"/>
              <w:right w:val="single" w:color="B0C4DE" w:sz="1"/>
            </w:tcBorders>
            <w:shd w:fill="D4EFDF" w:val="clear"/>
            <w:tcMar>
              <w:top w:type="dxa" w:w="60"/>
              <w:left w:type="dxa" w:w="100"/>
              <w:bottom w:type="dxa" w:w="60"/>
              <w:right w:type="dxa" w:w="100"/>
            </w:tcMar>
          </w:tcPr>
          <w:p>
            <w:pPr>
              <w:jc w:val="center"/>
            </w:pPr>
            <w:r>
              <w:rPr>
                <w:rFonts w:ascii="Arial" w:cs="Arial" w:eastAsia="Arial" w:hAnsi="Arial"/>
                <w:b/>
                <w:bCs/>
                <w:color w:val="1E8449"/>
                <w:sz w:val="20"/>
                <w:szCs w:val="20"/>
              </w:rPr>
              <w:t xml:space="preserve">✓</w:t>
            </w:r>
          </w:p>
        </w:tc>
        <w:tc>
          <w:tcPr>
            <w:tcW w:type="dxa" w:w="970"/>
            <w:tcBorders>
              <w:top w:val="single" w:color="B0C4DE" w:sz="1"/>
              <w:left w:val="single" w:color="B0C4DE" w:sz="1"/>
              <w:bottom w:val="single" w:color="B0C4DE" w:sz="1"/>
              <w:right w:val="single" w:color="B0C4DE" w:sz="1"/>
            </w:tcBorders>
            <w:shd w:fill="D4EFDF" w:val="clear"/>
            <w:tcMar>
              <w:top w:type="dxa" w:w="60"/>
              <w:left w:type="dxa" w:w="100"/>
              <w:bottom w:type="dxa" w:w="60"/>
              <w:right w:type="dxa" w:w="100"/>
            </w:tcMar>
          </w:tcPr>
          <w:p>
            <w:pPr>
              <w:jc w:val="center"/>
            </w:pPr>
            <w:r>
              <w:rPr>
                <w:rFonts w:ascii="Arial" w:cs="Arial" w:eastAsia="Arial" w:hAnsi="Arial"/>
                <w:b/>
                <w:bCs/>
                <w:color w:val="1E8449"/>
                <w:sz w:val="20"/>
                <w:szCs w:val="20"/>
              </w:rPr>
              <w:t xml:space="preserve">✓</w:t>
            </w:r>
          </w:p>
        </w:tc>
        <w:tc>
          <w:tcPr>
            <w:tcW w:type="dxa" w:w="970"/>
            <w:tcBorders>
              <w:top w:val="single" w:color="B0C4DE" w:sz="1"/>
              <w:left w:val="single" w:color="B0C4DE" w:sz="1"/>
              <w:bottom w:val="single" w:color="B0C4DE" w:sz="1"/>
              <w:right w:val="single" w:color="B0C4DE" w:sz="1"/>
            </w:tcBorders>
            <w:shd w:fill="D4EFDF" w:val="clear"/>
            <w:tcMar>
              <w:top w:type="dxa" w:w="60"/>
              <w:left w:type="dxa" w:w="100"/>
              <w:bottom w:type="dxa" w:w="60"/>
              <w:right w:type="dxa" w:w="100"/>
            </w:tcMar>
          </w:tcPr>
          <w:p>
            <w:pPr>
              <w:jc w:val="center"/>
            </w:pPr>
            <w:r>
              <w:rPr>
                <w:rFonts w:ascii="Arial" w:cs="Arial" w:eastAsia="Arial" w:hAnsi="Arial"/>
                <w:b/>
                <w:bCs/>
                <w:color w:val="1E8449"/>
                <w:sz w:val="20"/>
                <w:szCs w:val="20"/>
              </w:rPr>
              <w:t xml:space="preserve">✓</w:t>
            </w:r>
          </w:p>
        </w:tc>
        <w:tc>
          <w:tcPr>
            <w:tcW w:type="dxa" w:w="970"/>
            <w:tcBorders>
              <w:top w:val="single" w:color="B0C4DE" w:sz="1"/>
              <w:left w:val="single" w:color="B0C4DE" w:sz="1"/>
              <w:bottom w:val="single" w:color="B0C4DE" w:sz="1"/>
              <w:right w:val="single" w:color="B0C4DE" w:sz="1"/>
            </w:tcBorders>
            <w:shd w:fill="D4EFDF" w:val="clear"/>
            <w:tcMar>
              <w:top w:type="dxa" w:w="60"/>
              <w:left w:type="dxa" w:w="100"/>
              <w:bottom w:type="dxa" w:w="60"/>
              <w:right w:type="dxa" w:w="100"/>
            </w:tcMar>
          </w:tcPr>
          <w:p>
            <w:pPr>
              <w:jc w:val="center"/>
            </w:pPr>
            <w:r>
              <w:rPr>
                <w:rFonts w:ascii="Arial" w:cs="Arial" w:eastAsia="Arial" w:hAnsi="Arial"/>
                <w:b/>
                <w:bCs/>
                <w:color w:val="1E8449"/>
                <w:sz w:val="20"/>
                <w:szCs w:val="20"/>
              </w:rPr>
              <w:t xml:space="preserve">✓</w:t>
            </w:r>
          </w:p>
        </w:tc>
        <w:tc>
          <w:tcPr>
            <w:tcW w:type="dxa" w:w="970"/>
            <w:tcBorders>
              <w:top w:val="single" w:color="B0C4DE" w:sz="1"/>
              <w:left w:val="single" w:color="B0C4DE" w:sz="1"/>
              <w:bottom w:val="single" w:color="B0C4DE" w:sz="1"/>
              <w:right w:val="single" w:color="B0C4DE" w:sz="1"/>
            </w:tcBorders>
            <w:shd w:fill="D4EFDF" w:val="clear"/>
            <w:tcMar>
              <w:top w:type="dxa" w:w="60"/>
              <w:left w:type="dxa" w:w="100"/>
              <w:bottom w:type="dxa" w:w="60"/>
              <w:right w:type="dxa" w:w="100"/>
            </w:tcMar>
          </w:tcPr>
          <w:p>
            <w:pPr>
              <w:jc w:val="center"/>
            </w:pPr>
            <w:r>
              <w:rPr>
                <w:rFonts w:ascii="Arial" w:cs="Arial" w:eastAsia="Arial" w:hAnsi="Arial"/>
                <w:b/>
                <w:bCs/>
                <w:color w:val="1E8449"/>
                <w:sz w:val="20"/>
                <w:szCs w:val="20"/>
              </w:rPr>
              <w:t xml:space="preserve">✓</w:t>
            </w:r>
          </w:p>
        </w:tc>
        <w:tc>
          <w:tcPr>
            <w:tcW w:type="dxa" w:w="97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r>
      <w:tr>
        <w:tc>
          <w:tcPr>
            <w:tcW w:type="dxa" w:w="160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r>
              <w:rPr>
                <w:rFonts w:ascii="Arial" w:cs="Arial" w:eastAsia="Arial" w:hAnsi="Arial"/>
                <w:b/>
                <w:bCs/>
                <w:sz w:val="20"/>
                <w:szCs w:val="20"/>
              </w:rPr>
              <w:t xml:space="preserve">LOG</w:t>
            </w:r>
          </w:p>
        </w:tc>
        <w:tc>
          <w:tcPr>
            <w:tcW w:type="dxa" w:w="97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D4EFDF" w:val="clear"/>
            <w:tcMar>
              <w:top w:type="dxa" w:w="60"/>
              <w:left w:type="dxa" w:w="100"/>
              <w:bottom w:type="dxa" w:w="60"/>
              <w:right w:type="dxa" w:w="100"/>
            </w:tcMar>
          </w:tcPr>
          <w:p>
            <w:pPr>
              <w:jc w:val="center"/>
            </w:pPr>
            <w:r>
              <w:rPr>
                <w:rFonts w:ascii="Arial" w:cs="Arial" w:eastAsia="Arial" w:hAnsi="Arial"/>
                <w:b/>
                <w:bCs/>
                <w:color w:val="1E8449"/>
                <w:sz w:val="20"/>
                <w:szCs w:val="20"/>
              </w:rPr>
              <w:t xml:space="preserve">✓</w:t>
            </w:r>
          </w:p>
        </w:tc>
        <w:tc>
          <w:tcPr>
            <w:tcW w:type="dxa" w:w="97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D4EFDF" w:val="clear"/>
            <w:tcMar>
              <w:top w:type="dxa" w:w="60"/>
              <w:left w:type="dxa" w:w="100"/>
              <w:bottom w:type="dxa" w:w="60"/>
              <w:right w:type="dxa" w:w="100"/>
            </w:tcMar>
          </w:tcPr>
          <w:p>
            <w:pPr>
              <w:jc w:val="center"/>
            </w:pPr>
            <w:r>
              <w:rPr>
                <w:rFonts w:ascii="Arial" w:cs="Arial" w:eastAsia="Arial" w:hAnsi="Arial"/>
                <w:b/>
                <w:bCs/>
                <w:color w:val="1E8449"/>
                <w:sz w:val="20"/>
                <w:szCs w:val="20"/>
              </w:rPr>
              <w:t xml:space="preserve">✓</w:t>
            </w:r>
          </w:p>
        </w:tc>
        <w:tc>
          <w:tcPr>
            <w:tcW w:type="dxa" w:w="970"/>
            <w:tcBorders>
              <w:top w:val="single" w:color="B0C4DE" w:sz="1"/>
              <w:left w:val="single" w:color="B0C4DE" w:sz="1"/>
              <w:bottom w:val="single" w:color="B0C4DE" w:sz="1"/>
              <w:right w:val="single" w:color="B0C4DE" w:sz="1"/>
            </w:tcBorders>
            <w:shd w:fill="D4EFDF" w:val="clear"/>
            <w:tcMar>
              <w:top w:type="dxa" w:w="60"/>
              <w:left w:type="dxa" w:w="100"/>
              <w:bottom w:type="dxa" w:w="60"/>
              <w:right w:type="dxa" w:w="100"/>
            </w:tcMar>
          </w:tcPr>
          <w:p>
            <w:pPr>
              <w:jc w:val="center"/>
            </w:pPr>
            <w:r>
              <w:rPr>
                <w:rFonts w:ascii="Arial" w:cs="Arial" w:eastAsia="Arial" w:hAnsi="Arial"/>
                <w:b/>
                <w:bCs/>
                <w:color w:val="1E8449"/>
                <w:sz w:val="20"/>
                <w:szCs w:val="20"/>
              </w:rPr>
              <w:t xml:space="preserve">✓</w:t>
            </w:r>
          </w:p>
        </w:tc>
        <w:tc>
          <w:tcPr>
            <w:tcW w:type="dxa" w:w="97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r>
      <w:tr>
        <w:tc>
          <w:tcPr>
            <w:tcW w:type="dxa" w:w="16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bCs/>
                <w:sz w:val="20"/>
                <w:szCs w:val="20"/>
              </w:rPr>
              <w:t xml:space="preserve">CASING</w:t>
            </w:r>
          </w:p>
        </w:tc>
        <w:tc>
          <w:tcPr>
            <w:tcW w:type="dxa" w:w="97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D4EFDF" w:val="clear"/>
            <w:tcMar>
              <w:top w:type="dxa" w:w="60"/>
              <w:left w:type="dxa" w:w="100"/>
              <w:bottom w:type="dxa" w:w="60"/>
              <w:right w:type="dxa" w:w="100"/>
            </w:tcMar>
          </w:tcPr>
          <w:p>
            <w:pPr>
              <w:jc w:val="center"/>
            </w:pPr>
            <w:r>
              <w:rPr>
                <w:rFonts w:ascii="Arial" w:cs="Arial" w:eastAsia="Arial" w:hAnsi="Arial"/>
                <w:b/>
                <w:bCs/>
                <w:color w:val="1E8449"/>
                <w:sz w:val="20"/>
                <w:szCs w:val="20"/>
              </w:rPr>
              <w:t xml:space="preserve">✓</w:t>
            </w:r>
          </w:p>
        </w:tc>
        <w:tc>
          <w:tcPr>
            <w:tcW w:type="dxa" w:w="97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D4EFDF" w:val="clear"/>
            <w:tcMar>
              <w:top w:type="dxa" w:w="60"/>
              <w:left w:type="dxa" w:w="100"/>
              <w:bottom w:type="dxa" w:w="60"/>
              <w:right w:type="dxa" w:w="100"/>
            </w:tcMar>
          </w:tcPr>
          <w:p>
            <w:pPr>
              <w:jc w:val="center"/>
            </w:pPr>
            <w:r>
              <w:rPr>
                <w:rFonts w:ascii="Arial" w:cs="Arial" w:eastAsia="Arial" w:hAnsi="Arial"/>
                <w:b/>
                <w:bCs/>
                <w:color w:val="1E8449"/>
                <w:sz w:val="20"/>
                <w:szCs w:val="20"/>
              </w:rPr>
              <w:t xml:space="preserve">✓</w:t>
            </w:r>
          </w:p>
        </w:tc>
        <w:tc>
          <w:tcPr>
            <w:tcW w:type="dxa" w:w="970"/>
            <w:tcBorders>
              <w:top w:val="single" w:color="B0C4DE" w:sz="1"/>
              <w:left w:val="single" w:color="B0C4DE" w:sz="1"/>
              <w:bottom w:val="single" w:color="B0C4DE" w:sz="1"/>
              <w:right w:val="single" w:color="B0C4DE" w:sz="1"/>
            </w:tcBorders>
            <w:shd w:fill="D4EFDF" w:val="clear"/>
            <w:tcMar>
              <w:top w:type="dxa" w:w="60"/>
              <w:left w:type="dxa" w:w="100"/>
              <w:bottom w:type="dxa" w:w="60"/>
              <w:right w:type="dxa" w:w="100"/>
            </w:tcMar>
          </w:tcPr>
          <w:p>
            <w:pPr>
              <w:jc w:val="center"/>
            </w:pPr>
            <w:r>
              <w:rPr>
                <w:rFonts w:ascii="Arial" w:cs="Arial" w:eastAsia="Arial" w:hAnsi="Arial"/>
                <w:b/>
                <w:bCs/>
                <w:color w:val="1E8449"/>
                <w:sz w:val="20"/>
                <w:szCs w:val="20"/>
              </w:rPr>
              <w:t xml:space="preserve">✓</w:t>
            </w:r>
          </w:p>
        </w:tc>
        <w:tc>
          <w:tcPr>
            <w:tcW w:type="dxa" w:w="970"/>
            <w:tcBorders>
              <w:top w:val="single" w:color="B0C4DE" w:sz="1"/>
              <w:left w:val="single" w:color="B0C4DE" w:sz="1"/>
              <w:bottom w:val="single" w:color="B0C4DE" w:sz="1"/>
              <w:right w:val="single" w:color="B0C4DE" w:sz="1"/>
            </w:tcBorders>
            <w:shd w:fill="D4EFDF" w:val="clear"/>
            <w:tcMar>
              <w:top w:type="dxa" w:w="60"/>
              <w:left w:type="dxa" w:w="100"/>
              <w:bottom w:type="dxa" w:w="60"/>
              <w:right w:type="dxa" w:w="100"/>
            </w:tcMar>
          </w:tcPr>
          <w:p>
            <w:pPr>
              <w:jc w:val="center"/>
            </w:pPr>
            <w:r>
              <w:rPr>
                <w:rFonts w:ascii="Arial" w:cs="Arial" w:eastAsia="Arial" w:hAnsi="Arial"/>
                <w:b/>
                <w:bCs/>
                <w:color w:val="1E8449"/>
                <w:sz w:val="20"/>
                <w:szCs w:val="20"/>
              </w:rPr>
              <w:t xml:space="preserve">✓</w:t>
            </w:r>
          </w:p>
        </w:tc>
        <w:tc>
          <w:tcPr>
            <w:tcW w:type="dxa" w:w="970"/>
            <w:tcBorders>
              <w:top w:val="single" w:color="B0C4DE" w:sz="1"/>
              <w:left w:val="single" w:color="B0C4DE" w:sz="1"/>
              <w:bottom w:val="single" w:color="B0C4DE" w:sz="1"/>
              <w:right w:val="single" w:color="B0C4DE" w:sz="1"/>
            </w:tcBorders>
            <w:shd w:fill="D4EFDF" w:val="clear"/>
            <w:tcMar>
              <w:top w:type="dxa" w:w="60"/>
              <w:left w:type="dxa" w:w="100"/>
              <w:bottom w:type="dxa" w:w="60"/>
              <w:right w:type="dxa" w:w="100"/>
            </w:tcMar>
          </w:tcPr>
          <w:p>
            <w:pPr>
              <w:jc w:val="center"/>
            </w:pPr>
            <w:r>
              <w:rPr>
                <w:rFonts w:ascii="Arial" w:cs="Arial" w:eastAsia="Arial" w:hAnsi="Arial"/>
                <w:b/>
                <w:bCs/>
                <w:color w:val="1E8449"/>
                <w:sz w:val="20"/>
                <w:szCs w:val="20"/>
              </w:rPr>
              <w:t xml:space="preserve">✓</w:t>
            </w:r>
          </w:p>
        </w:tc>
        <w:tc>
          <w:tcPr>
            <w:tcW w:type="dxa" w:w="97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r>
      <w:tr>
        <w:tc>
          <w:tcPr>
            <w:tcW w:type="dxa" w:w="160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r>
              <w:rPr>
                <w:rFonts w:ascii="Arial" w:cs="Arial" w:eastAsia="Arial" w:hAnsi="Arial"/>
                <w:b/>
                <w:bCs/>
                <w:sz w:val="20"/>
                <w:szCs w:val="20"/>
              </w:rPr>
              <w:t xml:space="preserve">CMT/CEMENT</w:t>
            </w:r>
          </w:p>
        </w:tc>
        <w:tc>
          <w:tcPr>
            <w:tcW w:type="dxa" w:w="97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D4EFDF" w:val="clear"/>
            <w:tcMar>
              <w:top w:type="dxa" w:w="60"/>
              <w:left w:type="dxa" w:w="100"/>
              <w:bottom w:type="dxa" w:w="60"/>
              <w:right w:type="dxa" w:w="100"/>
            </w:tcMar>
          </w:tcPr>
          <w:p>
            <w:pPr>
              <w:jc w:val="center"/>
            </w:pPr>
            <w:r>
              <w:rPr>
                <w:rFonts w:ascii="Arial" w:cs="Arial" w:eastAsia="Arial" w:hAnsi="Arial"/>
                <w:b/>
                <w:bCs/>
                <w:color w:val="1E8449"/>
                <w:sz w:val="20"/>
                <w:szCs w:val="20"/>
              </w:rPr>
              <w:t xml:space="preserve">✓</w:t>
            </w:r>
          </w:p>
        </w:tc>
        <w:tc>
          <w:tcPr>
            <w:tcW w:type="dxa" w:w="970"/>
            <w:tcBorders>
              <w:top w:val="single" w:color="B0C4DE" w:sz="1"/>
              <w:left w:val="single" w:color="B0C4DE" w:sz="1"/>
              <w:bottom w:val="single" w:color="B0C4DE" w:sz="1"/>
              <w:right w:val="single" w:color="B0C4DE" w:sz="1"/>
            </w:tcBorders>
            <w:shd w:fill="D4EFDF" w:val="clear"/>
            <w:tcMar>
              <w:top w:type="dxa" w:w="60"/>
              <w:left w:type="dxa" w:w="100"/>
              <w:bottom w:type="dxa" w:w="60"/>
              <w:right w:type="dxa" w:w="100"/>
            </w:tcMar>
          </w:tcPr>
          <w:p>
            <w:pPr>
              <w:jc w:val="center"/>
            </w:pPr>
            <w:r>
              <w:rPr>
                <w:rFonts w:ascii="Arial" w:cs="Arial" w:eastAsia="Arial" w:hAnsi="Arial"/>
                <w:b/>
                <w:bCs/>
                <w:color w:val="1E8449"/>
                <w:sz w:val="20"/>
                <w:szCs w:val="20"/>
              </w:rPr>
              <w:t xml:space="preserve">✓</w:t>
            </w:r>
          </w:p>
        </w:tc>
        <w:tc>
          <w:tcPr>
            <w:tcW w:type="dxa" w:w="970"/>
            <w:tcBorders>
              <w:top w:val="single" w:color="B0C4DE" w:sz="1"/>
              <w:left w:val="single" w:color="B0C4DE" w:sz="1"/>
              <w:bottom w:val="single" w:color="B0C4DE" w:sz="1"/>
              <w:right w:val="single" w:color="B0C4DE" w:sz="1"/>
            </w:tcBorders>
            <w:shd w:fill="D4EFDF" w:val="clear"/>
            <w:tcMar>
              <w:top w:type="dxa" w:w="60"/>
              <w:left w:type="dxa" w:w="100"/>
              <w:bottom w:type="dxa" w:w="60"/>
              <w:right w:type="dxa" w:w="100"/>
            </w:tcMar>
          </w:tcPr>
          <w:p>
            <w:pPr>
              <w:jc w:val="center"/>
            </w:pPr>
            <w:r>
              <w:rPr>
                <w:rFonts w:ascii="Arial" w:cs="Arial" w:eastAsia="Arial" w:hAnsi="Arial"/>
                <w:b/>
                <w:bCs/>
                <w:color w:val="1E8449"/>
                <w:sz w:val="20"/>
                <w:szCs w:val="20"/>
              </w:rPr>
              <w:t xml:space="preserve">✓</w:t>
            </w:r>
          </w:p>
        </w:tc>
        <w:tc>
          <w:tcPr>
            <w:tcW w:type="dxa" w:w="970"/>
            <w:tcBorders>
              <w:top w:val="single" w:color="B0C4DE" w:sz="1"/>
              <w:left w:val="single" w:color="B0C4DE" w:sz="1"/>
              <w:bottom w:val="single" w:color="B0C4DE" w:sz="1"/>
              <w:right w:val="single" w:color="B0C4DE" w:sz="1"/>
            </w:tcBorders>
            <w:shd w:fill="D4EFDF" w:val="clear"/>
            <w:tcMar>
              <w:top w:type="dxa" w:w="60"/>
              <w:left w:type="dxa" w:w="100"/>
              <w:bottom w:type="dxa" w:w="60"/>
              <w:right w:type="dxa" w:w="100"/>
            </w:tcMar>
          </w:tcPr>
          <w:p>
            <w:pPr>
              <w:jc w:val="center"/>
            </w:pPr>
            <w:r>
              <w:rPr>
                <w:rFonts w:ascii="Arial" w:cs="Arial" w:eastAsia="Arial" w:hAnsi="Arial"/>
                <w:b/>
                <w:bCs/>
                <w:color w:val="1E8449"/>
                <w:sz w:val="20"/>
                <w:szCs w:val="20"/>
              </w:rPr>
              <w:t xml:space="preserve">✓</w:t>
            </w:r>
          </w:p>
        </w:tc>
        <w:tc>
          <w:tcPr>
            <w:tcW w:type="dxa" w:w="970"/>
            <w:tcBorders>
              <w:top w:val="single" w:color="B0C4DE" w:sz="1"/>
              <w:left w:val="single" w:color="B0C4DE" w:sz="1"/>
              <w:bottom w:val="single" w:color="B0C4DE" w:sz="1"/>
              <w:right w:val="single" w:color="B0C4DE" w:sz="1"/>
            </w:tcBorders>
            <w:shd w:fill="D4EFDF" w:val="clear"/>
            <w:tcMar>
              <w:top w:type="dxa" w:w="60"/>
              <w:left w:type="dxa" w:w="100"/>
              <w:bottom w:type="dxa" w:w="60"/>
              <w:right w:type="dxa" w:w="100"/>
            </w:tcMar>
          </w:tcPr>
          <w:p>
            <w:pPr>
              <w:jc w:val="center"/>
            </w:pPr>
            <w:r>
              <w:rPr>
                <w:rFonts w:ascii="Arial" w:cs="Arial" w:eastAsia="Arial" w:hAnsi="Arial"/>
                <w:b/>
                <w:bCs/>
                <w:color w:val="1E8449"/>
                <w:sz w:val="20"/>
                <w:szCs w:val="20"/>
              </w:rPr>
              <w:t xml:space="preserve">✓</w:t>
            </w:r>
          </w:p>
        </w:tc>
        <w:tc>
          <w:tcPr>
            <w:tcW w:type="dxa" w:w="970"/>
            <w:tcBorders>
              <w:top w:val="single" w:color="B0C4DE" w:sz="1"/>
              <w:left w:val="single" w:color="B0C4DE" w:sz="1"/>
              <w:bottom w:val="single" w:color="B0C4DE" w:sz="1"/>
              <w:right w:val="single" w:color="B0C4DE" w:sz="1"/>
            </w:tcBorders>
            <w:shd w:fill="D4EFDF" w:val="clear"/>
            <w:tcMar>
              <w:top w:type="dxa" w:w="60"/>
              <w:left w:type="dxa" w:w="100"/>
              <w:bottom w:type="dxa" w:w="60"/>
              <w:right w:type="dxa" w:w="100"/>
            </w:tcMar>
          </w:tcPr>
          <w:p>
            <w:pPr>
              <w:jc w:val="center"/>
            </w:pPr>
            <w:r>
              <w:rPr>
                <w:rFonts w:ascii="Arial" w:cs="Arial" w:eastAsia="Arial" w:hAnsi="Arial"/>
                <w:b/>
                <w:bCs/>
                <w:color w:val="1E8449"/>
                <w:sz w:val="20"/>
                <w:szCs w:val="20"/>
              </w:rPr>
              <w:t xml:space="preserve">✓</w:t>
            </w:r>
          </w:p>
        </w:tc>
        <w:tc>
          <w:tcPr>
            <w:tcW w:type="dxa" w:w="97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r>
      <w:tr>
        <w:tc>
          <w:tcPr>
            <w:tcW w:type="dxa" w:w="16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bCs/>
                <w:sz w:val="20"/>
                <w:szCs w:val="20"/>
              </w:rPr>
              <w:t xml:space="preserve">CASE &amp; CMT</w:t>
            </w:r>
          </w:p>
        </w:tc>
        <w:tc>
          <w:tcPr>
            <w:tcW w:type="dxa" w:w="97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D4EFDF" w:val="clear"/>
            <w:tcMar>
              <w:top w:type="dxa" w:w="60"/>
              <w:left w:type="dxa" w:w="100"/>
              <w:bottom w:type="dxa" w:w="60"/>
              <w:right w:type="dxa" w:w="100"/>
            </w:tcMar>
          </w:tcPr>
          <w:p>
            <w:pPr>
              <w:jc w:val="center"/>
            </w:pPr>
            <w:r>
              <w:rPr>
                <w:rFonts w:ascii="Arial" w:cs="Arial" w:eastAsia="Arial" w:hAnsi="Arial"/>
                <w:b/>
                <w:bCs/>
                <w:color w:val="1E8449"/>
                <w:sz w:val="20"/>
                <w:szCs w:val="20"/>
              </w:rPr>
              <w:t xml:space="preserve">✓</w:t>
            </w:r>
          </w:p>
        </w:tc>
        <w:tc>
          <w:tcPr>
            <w:tcW w:type="dxa" w:w="97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D4EFDF" w:val="clear"/>
            <w:tcMar>
              <w:top w:type="dxa" w:w="60"/>
              <w:left w:type="dxa" w:w="100"/>
              <w:bottom w:type="dxa" w:w="60"/>
              <w:right w:type="dxa" w:w="100"/>
            </w:tcMar>
          </w:tcPr>
          <w:p>
            <w:pPr>
              <w:jc w:val="center"/>
            </w:pPr>
            <w:r>
              <w:rPr>
                <w:rFonts w:ascii="Arial" w:cs="Arial" w:eastAsia="Arial" w:hAnsi="Arial"/>
                <w:b/>
                <w:bCs/>
                <w:color w:val="1E8449"/>
                <w:sz w:val="20"/>
                <w:szCs w:val="20"/>
              </w:rPr>
              <w:t xml:space="preserve">✓</w:t>
            </w:r>
          </w:p>
        </w:tc>
        <w:tc>
          <w:tcPr>
            <w:tcW w:type="dxa" w:w="970"/>
            <w:tcBorders>
              <w:top w:val="single" w:color="B0C4DE" w:sz="1"/>
              <w:left w:val="single" w:color="B0C4DE" w:sz="1"/>
              <w:bottom w:val="single" w:color="B0C4DE" w:sz="1"/>
              <w:right w:val="single" w:color="B0C4DE" w:sz="1"/>
            </w:tcBorders>
            <w:shd w:fill="D4EFDF" w:val="clear"/>
            <w:tcMar>
              <w:top w:type="dxa" w:w="60"/>
              <w:left w:type="dxa" w:w="100"/>
              <w:bottom w:type="dxa" w:w="60"/>
              <w:right w:type="dxa" w:w="100"/>
            </w:tcMar>
          </w:tcPr>
          <w:p>
            <w:pPr>
              <w:jc w:val="center"/>
            </w:pPr>
            <w:r>
              <w:rPr>
                <w:rFonts w:ascii="Arial" w:cs="Arial" w:eastAsia="Arial" w:hAnsi="Arial"/>
                <w:b/>
                <w:bCs/>
                <w:color w:val="1E8449"/>
                <w:sz w:val="20"/>
                <w:szCs w:val="20"/>
              </w:rPr>
              <w:t xml:space="preserve">✓</w:t>
            </w:r>
          </w:p>
        </w:tc>
        <w:tc>
          <w:tcPr>
            <w:tcW w:type="dxa" w:w="97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D4EFDF" w:val="clear"/>
            <w:tcMar>
              <w:top w:type="dxa" w:w="60"/>
              <w:left w:type="dxa" w:w="100"/>
              <w:bottom w:type="dxa" w:w="60"/>
              <w:right w:type="dxa" w:w="100"/>
            </w:tcMar>
          </w:tcPr>
          <w:p>
            <w:pPr>
              <w:jc w:val="center"/>
            </w:pPr>
            <w:r>
              <w:rPr>
                <w:rFonts w:ascii="Arial" w:cs="Arial" w:eastAsia="Arial" w:hAnsi="Arial"/>
                <w:b/>
                <w:bCs/>
                <w:color w:val="1E8449"/>
                <w:sz w:val="20"/>
                <w:szCs w:val="20"/>
              </w:rPr>
              <w:t xml:space="preserve">✓</w:t>
            </w:r>
          </w:p>
        </w:tc>
        <w:tc>
          <w:tcPr>
            <w:tcW w:type="dxa" w:w="97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r>
      <w:tr>
        <w:tc>
          <w:tcPr>
            <w:tcW w:type="dxa" w:w="160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r>
              <w:rPr>
                <w:rFonts w:ascii="Arial" w:cs="Arial" w:eastAsia="Arial" w:hAnsi="Arial"/>
                <w:b/>
                <w:bCs/>
                <w:sz w:val="20"/>
                <w:szCs w:val="20"/>
              </w:rPr>
              <w:t xml:space="preserve">POST CMT</w:t>
            </w:r>
          </w:p>
        </w:tc>
        <w:tc>
          <w:tcPr>
            <w:tcW w:type="dxa" w:w="97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D4EFDF" w:val="clear"/>
            <w:tcMar>
              <w:top w:type="dxa" w:w="60"/>
              <w:left w:type="dxa" w:w="100"/>
              <w:bottom w:type="dxa" w:w="60"/>
              <w:right w:type="dxa" w:w="100"/>
            </w:tcMar>
          </w:tcPr>
          <w:p>
            <w:pPr>
              <w:jc w:val="center"/>
            </w:pPr>
            <w:r>
              <w:rPr>
                <w:rFonts w:ascii="Arial" w:cs="Arial" w:eastAsia="Arial" w:hAnsi="Arial"/>
                <w:b/>
                <w:bCs/>
                <w:color w:val="1E8449"/>
                <w:sz w:val="20"/>
                <w:szCs w:val="20"/>
              </w:rPr>
              <w:t xml:space="preserve">✓</w:t>
            </w:r>
          </w:p>
        </w:tc>
        <w:tc>
          <w:tcPr>
            <w:tcW w:type="dxa" w:w="97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r>
      <w:tr>
        <w:tc>
          <w:tcPr>
            <w:tcW w:type="dxa" w:w="160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r>
              <w:rPr>
                <w:rFonts w:ascii="Arial" w:cs="Arial" w:eastAsia="Arial" w:hAnsi="Arial"/>
                <w:b/>
                <w:bCs/>
                <w:sz w:val="20"/>
                <w:szCs w:val="20"/>
              </w:rPr>
              <w:t xml:space="preserve">SIDETRACK</w:t>
            </w:r>
          </w:p>
        </w:tc>
        <w:tc>
          <w:tcPr>
            <w:tcW w:type="dxa" w:w="97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D4EFDF" w:val="clear"/>
            <w:tcMar>
              <w:top w:type="dxa" w:w="60"/>
              <w:left w:type="dxa" w:w="100"/>
              <w:bottom w:type="dxa" w:w="60"/>
              <w:right w:type="dxa" w:w="100"/>
            </w:tcMar>
          </w:tcPr>
          <w:p>
            <w:pPr>
              <w:jc w:val="center"/>
            </w:pPr>
            <w:r>
              <w:rPr>
                <w:rFonts w:ascii="Arial" w:cs="Arial" w:eastAsia="Arial" w:hAnsi="Arial"/>
                <w:b/>
                <w:bCs/>
                <w:color w:val="1E8449"/>
                <w:sz w:val="20"/>
                <w:szCs w:val="20"/>
              </w:rPr>
              <w:t xml:space="preserve">✓</w:t>
            </w:r>
          </w:p>
        </w:tc>
        <w:tc>
          <w:tcPr>
            <w:tcW w:type="dxa" w:w="97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r>
      <w:tr>
        <w:tc>
          <w:tcPr>
            <w:tcW w:type="dxa" w:w="160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r>
              <w:rPr>
                <w:rFonts w:ascii="Arial" w:cs="Arial" w:eastAsia="Arial" w:hAnsi="Arial"/>
                <w:b/>
                <w:bCs/>
                <w:sz w:val="20"/>
                <w:szCs w:val="20"/>
              </w:rPr>
              <w:t xml:space="preserve">RIG DOWN</w:t>
            </w:r>
          </w:p>
        </w:tc>
        <w:tc>
          <w:tcPr>
            <w:tcW w:type="dxa" w:w="97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F4F9FD" w:val="clear"/>
            <w:tcMar>
              <w:top w:type="dxa" w:w="60"/>
              <w:left w:type="dxa" w:w="100"/>
              <w:bottom w:type="dxa" w:w="60"/>
              <w:right w:type="dxa" w:w="100"/>
            </w:tcMar>
          </w:tcPr>
          <w:p>
            <w:pPr>
              <w:jc w:val="center"/>
            </w:pPr>
            <w:r>
              <w:rPr>
                <w:rFonts w:ascii="Arial" w:cs="Arial" w:eastAsia="Arial" w:hAnsi="Arial"/>
                <w:b w:val="false"/>
                <w:bCs w:val="false"/>
                <w:color w:val="CCCCCC"/>
                <w:sz w:val="20"/>
                <w:szCs w:val="20"/>
              </w:rPr>
              <w:t xml:space="preserve">—</w:t>
            </w:r>
          </w:p>
        </w:tc>
        <w:tc>
          <w:tcPr>
            <w:tcW w:type="dxa" w:w="970"/>
            <w:tcBorders>
              <w:top w:val="single" w:color="B0C4DE" w:sz="1"/>
              <w:left w:val="single" w:color="B0C4DE" w:sz="1"/>
              <w:bottom w:val="single" w:color="B0C4DE" w:sz="1"/>
              <w:right w:val="single" w:color="B0C4DE" w:sz="1"/>
            </w:tcBorders>
            <w:shd w:fill="D4EFDF" w:val="clear"/>
            <w:tcMar>
              <w:top w:type="dxa" w:w="60"/>
              <w:left w:type="dxa" w:w="100"/>
              <w:bottom w:type="dxa" w:w="60"/>
              <w:right w:type="dxa" w:w="100"/>
            </w:tcMar>
          </w:tcPr>
          <w:p>
            <w:pPr>
              <w:jc w:val="center"/>
            </w:pPr>
            <w:r>
              <w:rPr>
                <w:rFonts w:ascii="Arial" w:cs="Arial" w:eastAsia="Arial" w:hAnsi="Arial"/>
                <w:b/>
                <w:bCs/>
                <w:color w:val="1E8449"/>
                <w:sz w:val="20"/>
                <w:szCs w:val="20"/>
              </w:rPr>
              <w:t xml:space="preserve">✓</w:t>
            </w:r>
          </w:p>
        </w:tc>
      </w:tr>
    </w:tbl>
    <w:p>
      <w:pPr>
        <w:spacing w:before="300"/>
      </w:pPr>
    </w:p>
    <w:p>
      <w:pPr>
        <w:spacing w:before="80" w:after="80"/>
      </w:pPr>
      <w:r>
        <w:rPr>
          <w:rFonts w:ascii="Arial" w:cs="Arial" w:eastAsia="Arial" w:hAnsi="Arial"/>
          <w:b/>
          <w:bCs/>
          <w:sz w:val="22"/>
          <w:szCs w:val="22"/>
        </w:rPr>
        <w:t xml:space="preserve">Note: </w:t>
      </w:r>
      <w:r>
        <w:rPr>
          <w:rFonts w:ascii="Arial" w:cs="Arial" w:eastAsia="Arial" w:hAnsi="Arial"/>
          <w:sz w:val="22"/>
          <w:szCs w:val="22"/>
        </w:rPr>
        <w:t xml:space="preserve">Not all phases are present in every well. The PILOT, INT2, and INT3 phases are optional and depend on the well design, geological complexity, and formation conditions. The CASE &amp; CMT step represents a combined tracking of casing and cementing operations when they are recorded as a single activity.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jc w:val="right"/>
    </w:pPr>
    <w:r>
      <w:rPr>
        <w:rFonts w:ascii="Arial" w:cs="Arial" w:eastAsia="Arial" w:hAnsi="Arial"/>
        <w:i/>
        <w:iCs/>
        <w:color w:val="999999"/>
        <w:sz w:val="18"/>
        <w:szCs w:val="18"/>
      </w:rPr>
      <w:t xml:space="preserve">Drilling Operations — Phases &amp; Phase Steps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449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2026-02-23T22:21:24.770Z</dcterms:created>
  <dcterms:modified xsi:type="dcterms:W3CDTF">2026-02-23T22:21:24.771Z</dcterms:modified>
</cp:coreProperties>
</file>

<file path=docProps/custom.xml><?xml version="1.0" encoding="utf-8"?>
<Properties xmlns="http://schemas.openxmlformats.org/officeDocument/2006/custom-properties" xmlns:vt="http://schemas.openxmlformats.org/officeDocument/2006/docPropsVTypes"/>
</file>