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62E8A">
      <w:pPr>
        <w:spacing w:line="560" w:lineRule="exact"/>
        <w:jc w:val="center"/>
        <w:rPr>
          <w:rFonts w:ascii="仿宋_GB2312" w:hAnsi="仿宋_GB2312" w:eastAsia="仿宋_GB2312" w:cs="仿宋_GB2312"/>
          <w:b/>
          <w:bCs/>
          <w:sz w:val="44"/>
          <w:szCs w:val="44"/>
        </w:rPr>
      </w:pPr>
      <w:r>
        <w:rPr>
          <w:rFonts w:hint="eastAsia" w:ascii="仿宋_GB2312" w:hAnsi="仿宋_GB2312" w:eastAsia="仿宋_GB2312" w:cs="仿宋_GB2312"/>
          <w:b/>
          <w:bCs/>
          <w:sz w:val="44"/>
          <w:szCs w:val="44"/>
          <w:lang w:val="en-US" w:eastAsia="zh-CN"/>
        </w:rPr>
        <w:t>临西轴承</w:t>
      </w:r>
      <w:r>
        <w:rPr>
          <w:rFonts w:hint="eastAsia" w:ascii="仿宋_GB2312" w:hAnsi="仿宋_GB2312" w:eastAsia="仿宋_GB2312" w:cs="仿宋_GB2312"/>
          <w:b/>
          <w:bCs/>
          <w:sz w:val="44"/>
          <w:szCs w:val="44"/>
        </w:rPr>
        <w:t>产业大脑调研大纲</w:t>
      </w:r>
    </w:p>
    <w:p w14:paraId="41F781FE">
      <w:pPr>
        <w:spacing w:line="560" w:lineRule="exact"/>
        <w:rPr>
          <w:rFonts w:hint="eastAsia" w:ascii="黑体" w:hAnsi="黑体" w:eastAsia="黑体" w:cs="黑体"/>
          <w:sz w:val="32"/>
          <w:szCs w:val="32"/>
        </w:rPr>
      </w:pPr>
    </w:p>
    <w:p w14:paraId="4045FC6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一、调研背景及目标</w:t>
      </w:r>
    </w:p>
    <w:p w14:paraId="3AAAF15A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（一）调研背景</w:t>
      </w:r>
    </w:p>
    <w:p w14:paraId="1F66FDC4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临西县作为“中国轴承之乡”“全国最大的碳钢轴承生产出口基地”，轴承产业历经50余年发展，已形成</w:t>
      </w:r>
      <w:r>
        <w:commentReference w:id="0"/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3000余</w:t>
      </w:r>
      <w:r>
        <w:rPr>
          <w:rFonts w:hint="eastAsia" w:ascii="仿宋_GB2312" w:hAnsi="仿宋_GB2312" w:eastAsia="仿宋_GB2312" w:cs="仿宋_GB2312"/>
          <w:sz w:val="32"/>
          <w:szCs w:val="32"/>
        </w:rPr>
        <w:t>家生产销售及配套企业、年产能8.1亿套的规模，全国每10个轴承中就有1个产自临西，碳钢轴承出口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占全国90%。但产业长期面临“大而不强”的结构性矛盾：多数企业集中于中低端碳钢轴承制造，高端精密轴承（如精密机床、新能源汽车专用轴承）依赖进口，产品附加值低；中小企业“低小散”特征明显，数字化渗透率低、高端检测设备（圆度仪、光谱仪）缺口大，产业链虽完整但本地配套率仅超50%，原材料采购议价能力弱、物流成本高，亟需通过产业大脑整合全链数据资源，推动智能制造与供应链协同升级。</w:t>
      </w:r>
    </w:p>
    <w:p w14:paraId="1527320B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楷体" w:hAnsi="楷体" w:eastAsia="楷体" w:cs="楷体"/>
          <w:b/>
        </w:rPr>
      </w:pPr>
      <w:r>
        <w:rPr>
          <w:rFonts w:hint="eastAsia" w:ascii="楷体" w:hAnsi="楷体" w:eastAsia="楷体" w:cs="楷体"/>
          <w:b/>
        </w:rPr>
        <w:t>（二）调研目标</w:t>
      </w:r>
    </w:p>
    <w:p w14:paraId="26D70B1A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1.现状诊断：梳理产业链核心堵点（如高端轴承钢、精密滚动体外采依赖、中小企业MES/ERP 部署率低）、原材料集采落地效果、企业数字化水平差异、跨境出口物流痛点；</w:t>
      </w:r>
    </w:p>
    <w:p w14:paraId="5631D653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2.需求挖掘：明确企业对产业大脑的核心诉求（如“临西轴承”集体商标推广支持、跨境订单协同、短期流动性融资、高端检测设备共享等）；</w:t>
      </w:r>
    </w:p>
    <w:p w14:paraId="7E508DA2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3.方案锚点：为产业大脑建设确定功能模块优先级（如产业链供需对接、集采集销深化、供应链金融、跨境物流协同、产业情报服务等）。</w:t>
      </w:r>
    </w:p>
    <w:p w14:paraId="4E4B363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二、调研对象及问题清单</w:t>
      </w:r>
    </w:p>
    <w:p w14:paraId="5A8AEAB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楷体" w:hAnsi="楷体" w:eastAsia="楷体" w:cs="楷体"/>
          <w:b/>
        </w:rPr>
      </w:pPr>
      <w:r>
        <w:rPr>
          <w:rFonts w:hint="eastAsia" w:ascii="楷体" w:hAnsi="楷体" w:eastAsia="楷体" w:cs="楷体"/>
          <w:b/>
        </w:rPr>
        <w:t>（一）政府部门（</w:t>
      </w:r>
      <w:r>
        <w:rPr>
          <w:rFonts w:hint="eastAsia" w:ascii="楷体" w:hAnsi="楷体" w:eastAsia="楷体" w:cs="楷体"/>
          <w:b/>
          <w:lang w:val="en-US" w:eastAsia="zh-CN"/>
        </w:rPr>
        <w:t>科工</w:t>
      </w:r>
      <w:r>
        <w:rPr>
          <w:rFonts w:hint="eastAsia" w:ascii="楷体" w:hAnsi="楷体" w:eastAsia="楷体" w:cs="楷体"/>
          <w:b/>
        </w:rPr>
        <w:t>局）</w:t>
      </w:r>
    </w:p>
    <w:p w14:paraId="1818F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1.产业链结构</w:t>
      </w:r>
    </w:p>
    <w:p w14:paraId="656A6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1）轴承上中下游企业数量及产值占比（上游：轴承钢/滚动体/保持架；中游：通用碳钢轴承/高端精密轴承/新能源专用轴承；下游：加工设备/检测设备/物流服务）？规上企业中，高端轴承、专精特新企业的分布及产值贡献占比？</w:t>
      </w:r>
    </w:p>
    <w:p w14:paraId="60842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commentRangeStart w:id="1"/>
      <w:r>
        <w:rPr>
          <w:rFonts w:hint="eastAsia" w:ascii="仿宋_GB2312" w:hAnsi="仿宋_GB2312" w:eastAsia="仿宋_GB2312" w:cs="仿宋_GB2312"/>
          <w:sz w:val="32"/>
          <w:szCs w:val="32"/>
        </w:rPr>
        <w:t>（2）针对推动企业向高端化转型（如精密轴承研发、“临西轴承”集体商标使用），</w:t>
      </w:r>
      <w:commentRangeStart w:id="2"/>
      <w:r>
        <w:rPr>
          <w:rFonts w:hint="eastAsia" w:ascii="仿宋_GB2312" w:hAnsi="仿宋_GB2312" w:eastAsia="仿宋_GB2312" w:cs="仿宋_GB2312"/>
          <w:sz w:val="32"/>
          <w:szCs w:val="32"/>
        </w:rPr>
        <w:t>已出台哪些专项补贴政策？</w:t>
      </w:r>
      <w:commentRangeEnd w:id="2"/>
      <w:r>
        <w:commentReference w:id="2"/>
      </w:r>
      <w:r>
        <w:rPr>
          <w:rFonts w:hint="eastAsia" w:ascii="仿宋_GB2312" w:hAnsi="仿宋_GB2312" w:eastAsia="仿宋_GB2312" w:cs="仿宋_GB2312"/>
          <w:sz w:val="32"/>
          <w:szCs w:val="32"/>
        </w:rPr>
        <w:t>执行效果（如带动多少企业参与集体商标使用、高端产品产值增长幅度）？</w:t>
      </w:r>
      <w:commentRangeEnd w:id="1"/>
      <w:r>
        <w:commentReference w:id="1"/>
      </w:r>
    </w:p>
    <w:p w14:paraId="0D4A9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commentRangeStart w:id="3"/>
      <w:r>
        <w:rPr>
          <w:rFonts w:hint="eastAsia" w:ascii="仿宋_GB2312" w:hAnsi="仿宋_GB2312" w:eastAsia="仿宋_GB2312" w:cs="仿宋_GB2312"/>
          <w:sz w:val="32"/>
          <w:szCs w:val="32"/>
        </w:rPr>
        <w:t>（3）当前产业链断链弱链环节（如高端轴承钢供应、精密检测服务、跨境电商运营），计划采取哪些强链补链措施？与河钢等本地钢厂的集采合作覆盖情况？</w:t>
      </w:r>
      <w:commentRangeEnd w:id="3"/>
      <w:r>
        <w:commentReference w:id="3"/>
      </w:r>
    </w:p>
    <w:p w14:paraId="58DC4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2.政策与监管</w:t>
      </w:r>
    </w:p>
    <w:p w14:paraId="1AC66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（1）近两年针对企业智转数改（MES/ERP 部署）、品牌建设（集体商标推广）、高端设备购置（检测/智能制造设备）的补贴政策细则及落地成效（如补贴发放金额、受益企业数）？</w:t>
      </w:r>
    </w:p>
    <w:p w14:paraId="10756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（2）针对轴承热处理等高能耗环节，是否已建设能耗监测平台？环保监测平台覆盖企业数量？企业实际接入率及数据上传及时性？</w:t>
      </w:r>
    </w:p>
    <w:p w14:paraId="20492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3.数字化转型方面</w:t>
      </w:r>
    </w:p>
    <w:p w14:paraId="6ADD5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（1）</w:t>
      </w:r>
    </w:p>
    <w:p w14:paraId="3C6165C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楷体" w:hAnsi="楷体" w:eastAsia="楷体" w:cs="楷体"/>
          <w:b/>
        </w:rPr>
      </w:pPr>
      <w:r>
        <w:rPr>
          <w:rFonts w:hint="eastAsia" w:ascii="楷体" w:hAnsi="楷体" w:eastAsia="楷体" w:cs="楷体"/>
          <w:b/>
        </w:rPr>
        <w:t>（二）园区与协会</w:t>
      </w:r>
    </w:p>
    <w:p w14:paraId="67E8FF86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1.产业协同</w:t>
      </w:r>
    </w:p>
    <w:p w14:paraId="564D24FE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（1）配套缺口：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在轴承制造产业链条上，原材料的采购方面哪些是严重依赖外采的？</w:t>
      </w:r>
      <w:r>
        <w:rPr>
          <w:rFonts w:hint="eastAsia" w:ascii="仿宋_GB2312" w:hAnsi="仿宋_GB2312" w:eastAsia="仿宋_GB2312" w:cs="仿宋_GB2312"/>
          <w:sz w:val="32"/>
          <w:szCs w:val="32"/>
        </w:rPr>
        <w:t>（哪些环节需强链补链）？</w:t>
      </w:r>
    </w:p>
    <w:p w14:paraId="1AB19DFC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（2）议价能力：原料价格波动对企业利润影响程度（例如，是否导致企业利润损失＞10%）？现在本地是否有集中采购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轴承原材料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的服务商？实际业务开展情况如何？集采在全县域的采购占比？ </w:t>
      </w:r>
    </w:p>
    <w:p w14:paraId="2C908579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3）集中销售与出口：针对临西轴承出口90多个国家的现状，本地是否有专门的跨境电商集中服务商？业务模式（如统一报关、海外仓共享）及实际成效（如带动出口额增长幅度）？国内电商销售的集中服务情况？</w:t>
      </w:r>
    </w:p>
    <w:p w14:paraId="4D0A1D23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（4）河北省轴承行业协会目前入驻的都有哪些企业？（轴承生产企业、行业配套企业）</w:t>
      </w:r>
    </w:p>
    <w:p w14:paraId="7EDE3AD8">
      <w:pPr>
        <w:spacing w:line="560" w:lineRule="exact"/>
        <w:ind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（5）本地还有哪些生态平台？（例如外贸、电商）</w:t>
      </w:r>
    </w:p>
    <w:p w14:paraId="234B7EA5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2.行业服务平台短板有哪些</w:t>
      </w:r>
    </w:p>
    <w:p w14:paraId="078E0C04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commentRangeStart w:id="4"/>
      <w:r>
        <w:rPr>
          <w:rFonts w:hint="eastAsia" w:ascii="仿宋_GB2312" w:hAnsi="仿宋_GB2312" w:eastAsia="仿宋_GB2312" w:cs="仿宋_GB2312"/>
          <w:sz w:val="32"/>
          <w:szCs w:val="32"/>
        </w:rPr>
        <w:t>（1）“临西轴承”集体商标目前使用企业数、推广渠道及市场认可度？是否有区域性品牌统一宣传、认证服务</w:t>
      </w:r>
    </w:p>
    <w:p w14:paraId="40E2FC5E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）园区集约化物流配送覆盖率？企业物流成本占比是否高于行业均值？</w:t>
      </w:r>
      <w:commentRangeEnd w:id="4"/>
      <w:r>
        <w:commentReference w:id="4"/>
      </w:r>
    </w:p>
    <w:p w14:paraId="35A86C75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commentRangeStart w:id="5"/>
      <w:r>
        <w:rPr>
          <w:rFonts w:hint="eastAsia" w:ascii="仿宋_GB2312" w:hAnsi="仿宋_GB2312" w:eastAsia="仿宋_GB2312" w:cs="仿宋_GB2312"/>
          <w:sz w:val="32"/>
          <w:szCs w:val="32"/>
        </w:rPr>
        <w:t>（3）本地共享检测平台的设备共享率、企业使用成本及排队时长？</w:t>
      </w:r>
      <w:commentRangeEnd w:id="5"/>
      <w:r>
        <w:commentReference w:id="5"/>
      </w:r>
    </w:p>
    <w:p w14:paraId="39080120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3.数据需求</w:t>
      </w:r>
    </w:p>
    <w:p w14:paraId="3C61DC37">
      <w:pPr>
        <w:spacing w:line="56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行业内权威的产业数据提供方有哪些？企业最急需的产业情报（如轴承钢实时报价、国际轴承标准更新、跨境订单需求趋势、专利技术动态）？是否愿意付费购买精准数据服务？</w:t>
      </w:r>
    </w:p>
    <w:p w14:paraId="7BE6FFC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楷体" w:hAnsi="楷体" w:eastAsia="楷体" w:cs="楷体"/>
          <w:b/>
        </w:rPr>
      </w:pPr>
      <w:r>
        <w:rPr>
          <w:rFonts w:hint="eastAsia" w:ascii="楷体" w:hAnsi="楷体" w:eastAsia="楷体" w:cs="楷体"/>
          <w:b/>
        </w:rPr>
        <w:t>（三）重点企业（龙头企业、中小企业、配套商）</w:t>
      </w:r>
    </w:p>
    <w:p w14:paraId="67966622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1.产业链痛点</w:t>
      </w:r>
    </w:p>
    <w:p w14:paraId="5F020018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（1）上游风险：轴承钢采购以河钢直供、本地集采平台、外地贸易商为主的占比？参与本地“国企+集群”集采后，成本降低幅度？高端轴承钢、精密滚动体是否依赖外采？采购周期及价格波动对利润的影响？</w:t>
      </w:r>
    </w:p>
    <w:p w14:paraId="1837B5D1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（2）下游账期：主要客户类型（主机厂/经销商/跨境买家）？平均账期时长？对金融贷款的需求（长期经营贷/短期流动性贷/订单贷）？</w:t>
      </w:r>
    </w:p>
    <w:p w14:paraId="446CFBDF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（3）区域供应链循环：</w:t>
      </w:r>
    </w:p>
    <w:p w14:paraId="6DDD11D4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1.3.1主要上游材料从本区域内（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临西</w:t>
      </w:r>
      <w:r>
        <w:rPr>
          <w:rFonts w:hint="eastAsia" w:ascii="仿宋_GB2312" w:hAnsi="仿宋_GB2312" w:eastAsia="仿宋_GB2312" w:cs="仿宋_GB2312"/>
          <w:sz w:val="32"/>
          <w:szCs w:val="32"/>
        </w:rPr>
        <w:t>及周边）采购的占比大约是多少？从区域外采购的占比是多少？</w:t>
      </w:r>
    </w:p>
    <w:p w14:paraId="406DAC2E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1.3.2企业的产品（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通用轴承、专用轴承、特殊轴承</w:t>
      </w:r>
      <w:r>
        <w:rPr>
          <w:rFonts w:hint="eastAsia" w:ascii="仿宋_GB2312" w:hAnsi="仿宋_GB2312" w:eastAsia="仿宋_GB2312" w:cs="仿宋_GB2312"/>
          <w:sz w:val="32"/>
          <w:szCs w:val="32"/>
        </w:rPr>
        <w:t>等）销售给本区域内客户的占比大约是多少？销售到区域外的占比是多少？</w:t>
      </w:r>
    </w:p>
    <w:p w14:paraId="5C642532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1.3.3若希望提升区域内供需匹配度，最需解决的问题（按重要性排序）：质量标准统一/品种补全/物流时效提升/信息对接平台缺失？</w:t>
      </w:r>
    </w:p>
    <w:p w14:paraId="72B63A6E">
      <w:pPr>
        <w:spacing w:line="560" w:lineRule="exact"/>
        <w:ind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关于铁铁供应链，目前内部的订单分配逻辑、交付逻辑、质检逻辑以及最后的结算方式是什么样的一个流程？</w:t>
      </w:r>
    </w:p>
    <w:p w14:paraId="017DFBEF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2.数字化水平</w:t>
      </w:r>
    </w:p>
    <w:p w14:paraId="1E2E8D0E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（1）生产环节：是否部署MES/ERP系统？未部署的核心原因（成本超30万门槛/无适配需求/缺乏操作人才）？关键设备（磨床、热处理设备、检测设备）数控化率？</w:t>
      </w:r>
    </w:p>
    <w:p w14:paraId="5545B755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（2）设计能力：设计人才流失率情况？是否使用云设计平台？</w:t>
      </w:r>
    </w:p>
    <w:p w14:paraId="0D317ABB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（3）外部平台使用与服务成本：</w:t>
      </w:r>
    </w:p>
    <w:p w14:paraId="0A5838C1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2.3.1目前是否使用任何外部的产业撮合平台或产业情报/资讯平台？如使用，是哪些平台？用于什么目的（找原料、找客户、找情报等）？</w:t>
      </w:r>
    </w:p>
    <w:p w14:paraId="5BF80516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2.3.2这些平台服务是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免费还是收费？如果是收费服务，</w:t>
      </w:r>
      <w:r>
        <w:rPr>
          <w:rFonts w:hint="eastAsia" w:ascii="仿宋_GB2312" w:hAnsi="仿宋_GB2312" w:eastAsia="仿宋_GB2312" w:cs="仿宋_GB2312"/>
          <w:sz w:val="32"/>
          <w:szCs w:val="32"/>
        </w:rPr>
        <w:t>企业每年为此支付的成本大概在什么范围？（年费/会员费、佣金、信息费等）是否构成显著负担？免费的基础功能是否能满足基本需求？是否有升级付费功能的意愿？</w:t>
      </w:r>
    </w:p>
    <w:p w14:paraId="5F21B9D7">
      <w:pPr>
        <w:numPr>
          <w:ilvl w:val="0"/>
          <w:numId w:val="1"/>
        </w:num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核心需求</w:t>
      </w:r>
    </w:p>
    <w:p w14:paraId="660273C4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（1）是否需要产业大脑提供订单撮合（尤其是跨境订单精准匹配）、产能共享服务？</w:t>
      </w:r>
    </w:p>
    <w:p w14:paraId="36E2DE9F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（2）是否需要 “临西轴承” 集体商标推广支持、</w:t>
      </w:r>
      <w:commentRangeStart w:id="6"/>
      <w:r>
        <w:rPr>
          <w:rFonts w:hint="eastAsia" w:ascii="仿宋_GB2312" w:hAnsi="仿宋_GB2312" w:eastAsia="仿宋_GB2312" w:cs="仿宋_GB2312"/>
          <w:sz w:val="32"/>
          <w:szCs w:val="32"/>
        </w:rPr>
        <w:t>跨境认证（如欧盟 CE 认证）辅导服务？</w:t>
      </w:r>
      <w:commentRangeEnd w:id="6"/>
      <w:r>
        <w:commentReference w:id="6"/>
      </w:r>
    </w:p>
    <w:p w14:paraId="75B3414C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（3）是否希望产业大脑整合共享检测设备、提供高端轴承研发技术情报（如专利、工艺标准）？</w:t>
      </w:r>
    </w:p>
    <w:p w14:paraId="5C38B20B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（4）现有融资渠道（银行贷款 / 担保公司）是否满足需求？是否需要订单贷、供应链金融等创新金融产品？</w:t>
      </w:r>
    </w:p>
    <w:p w14:paraId="5D50275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楷体" w:hAnsi="楷体" w:eastAsia="楷体" w:cs="楷体"/>
          <w:b/>
        </w:rPr>
      </w:pPr>
      <w:r>
        <w:rPr>
          <w:rFonts w:hint="eastAsia" w:ascii="楷体" w:hAnsi="楷体" w:eastAsia="楷体" w:cs="楷体"/>
          <w:b/>
        </w:rPr>
        <w:t>（四）行业服务平台（物流商、金融机构）</w:t>
      </w:r>
    </w:p>
    <w:p w14:paraId="2F8ED5A6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commentRangeStart w:id="7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.物流服务</w:t>
      </w:r>
      <w:commentRangeEnd w:id="7"/>
      <w:r>
        <w:commentReference w:id="7"/>
      </w:r>
    </w:p>
    <w:p w14:paraId="6F70D1C7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（1）本地是否有轴承专用仓储集散基地？跨境物流是否有统一报关、海外仓共享服务？</w:t>
      </w:r>
    </w:p>
    <w:p w14:paraId="505DA7C2">
      <w:pPr>
        <w:spacing w:line="560" w:lineRule="exact"/>
        <w:ind w:firstLine="640" w:firstLineChars="200"/>
        <w:rPr>
          <w:rFonts w:hint="default" w:ascii="仿宋_GB2312" w:hAnsi="仿宋_GB2312" w:eastAsia="仿宋_GB2312" w:cs="仿宋_GB2312"/>
          <w:sz w:val="32"/>
          <w:szCs w:val="32"/>
        </w:rPr>
      </w:pPr>
      <w:r>
        <w:rPr>
          <w:rFonts w:hint="default" w:ascii="仿宋_GB2312" w:hAnsi="仿宋_GB2312" w:eastAsia="仿宋_GB2312" w:cs="仿宋_GB2312"/>
          <w:sz w:val="32"/>
          <w:szCs w:val="32"/>
        </w:rPr>
        <w:t>（2）企业物流成本占营收比例？核心痛点（如跨境物流时效不稳定/国内配送成本高/退换货流程繁琐）？</w:t>
      </w:r>
    </w:p>
    <w:p w14:paraId="595BE04A">
      <w:pPr>
        <w:spacing w:line="560" w:lineRule="exact"/>
        <w:ind w:firstLine="640" w:firstLineChars="200"/>
        <w:rPr>
          <w:rFonts w:hint="default" w:ascii="仿宋_GB2312" w:hAnsi="仿宋_GB2312" w:eastAsia="仿宋_GB2312" w:cs="仿宋_GB2312"/>
          <w:sz w:val="32"/>
          <w:szCs w:val="32"/>
        </w:rPr>
      </w:pPr>
      <w:r>
        <w:rPr>
          <w:rFonts w:hint="default" w:ascii="仿宋_GB2312" w:hAnsi="仿宋_GB2312" w:eastAsia="仿宋_GB2312" w:cs="仿宋_GB2312"/>
          <w:sz w:val="32"/>
          <w:szCs w:val="32"/>
        </w:rPr>
        <w:t>（3）是否存在区域内物流整合模式（如多企业拼单配送）？能否降低物流成本？</w:t>
      </w:r>
    </w:p>
    <w:p w14:paraId="7E799C1D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commentRangeStart w:id="8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.金融服务</w:t>
      </w:r>
      <w:commentRangeEnd w:id="8"/>
      <w:r>
        <w:commentReference w:id="8"/>
      </w:r>
    </w:p>
    <w:p w14:paraId="03D12C7B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（1）针对轴承产业特点，已开发哪些金融产品（如订单贷、集采贷、短期流动性贷）？实际推广效果（如受益企业数、放贷金额）？</w:t>
      </w:r>
    </w:p>
    <w:p w14:paraId="47B02902">
      <w:pPr>
        <w:spacing w:line="560" w:lineRule="exact"/>
        <w:ind w:firstLine="640" w:firstLineChars="200"/>
        <w:rPr>
          <w:rFonts w:hint="default" w:ascii="仿宋_GB2312" w:hAnsi="仿宋_GB2312" w:eastAsia="仿宋_GB2312" w:cs="仿宋_GB2312"/>
          <w:sz w:val="32"/>
          <w:szCs w:val="32"/>
        </w:rPr>
      </w:pPr>
      <w:r>
        <w:rPr>
          <w:rFonts w:hint="default" w:ascii="仿宋_GB2312" w:hAnsi="仿宋_GB2312" w:eastAsia="仿宋_GB2312" w:cs="仿宋_GB2312"/>
          <w:sz w:val="32"/>
          <w:szCs w:val="32"/>
        </w:rPr>
        <w:t>（2）企业信用贷款平均融资成本？政府是否有与“临西轴承”集体商标、专精特新资质绑定的贴息政策？</w:t>
      </w:r>
    </w:p>
    <w:p w14:paraId="70E5EFC5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default" w:ascii="仿宋_GB2312" w:hAnsi="仿宋_GB2312" w:eastAsia="仿宋_GB2312" w:cs="仿宋_GB2312"/>
          <w:sz w:val="32"/>
          <w:szCs w:val="32"/>
        </w:rPr>
        <w:t>（3）是否有接入企业ERP、物流跟踪系统的数据合作经验？对与产业大脑对接、通过订单/物流数据提供风控支持的看法和顾虑？</w:t>
      </w:r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uowei" w:date="2025-12-26T09:03:29Z" w:initials="">
    <w:p w14:paraId="751BDC30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修正</w:t>
      </w:r>
    </w:p>
  </w:comment>
  <w:comment w:id="2" w:author="luowei" w:date="2025-12-26T09:07:28Z" w:initials="">
    <w:p w14:paraId="184734A7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政府网站、公众号</w:t>
      </w:r>
    </w:p>
  </w:comment>
  <w:comment w:id="1" w:author="luowei" w:date="2025-12-26T09:06:15Z" w:initials="">
    <w:p w14:paraId="7AFB00F6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临发集团</w:t>
      </w:r>
    </w:p>
  </w:comment>
  <w:comment w:id="3" w:author="luowei" w:date="2025-12-26T09:15:51Z" w:initials="">
    <w:p w14:paraId="357058F0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科工 临发</w:t>
      </w:r>
    </w:p>
  </w:comment>
  <w:comment w:id="4" w:author="luowei" w:date="2025-12-26T09:14:36Z" w:initials="">
    <w:p w14:paraId="70B8FCA1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临发集团</w:t>
      </w:r>
    </w:p>
  </w:comment>
  <w:comment w:id="5" w:author="luowei" w:date="2025-12-26T09:16:43Z" w:initials="">
    <w:p w14:paraId="56A4D00E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内部了解</w:t>
      </w:r>
    </w:p>
  </w:comment>
  <w:comment w:id="6" w:author="luowei" w:date="2025-12-26T09:21:58Z" w:initials="">
    <w:p w14:paraId="37784676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“碳”证书</w:t>
      </w:r>
    </w:p>
  </w:comment>
  <w:comment w:id="7" w:author="luowei" w:date="2025-12-26T09:28:00Z" w:initials="">
    <w:p w14:paraId="2FD5E8EA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企业、临发集团</w:t>
      </w:r>
    </w:p>
  </w:comment>
  <w:comment w:id="8" w:author="luowei" w:date="2025-12-26T09:30:00Z" w:initials="">
    <w:p w14:paraId="748454AF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临轴集团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51BDC30" w15:done="0"/>
  <w15:commentEx w15:paraId="184734A7" w15:done="0"/>
  <w15:commentEx w15:paraId="7AFB00F6" w15:done="0"/>
  <w15:commentEx w15:paraId="357058F0" w15:done="0"/>
  <w15:commentEx w15:paraId="70B8FCA1" w15:done="0"/>
  <w15:commentEx w15:paraId="56A4D00E" w15:done="0"/>
  <w15:commentEx w15:paraId="37784676" w15:done="0"/>
  <w15:commentEx w15:paraId="2FD5E8EA" w15:done="0"/>
  <w15:commentEx w15:paraId="748454A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5A975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437648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437648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57D811"/>
    <w:multiLevelType w:val="singleLevel"/>
    <w:tmpl w:val="3B57D811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uowei">
    <w15:presenceInfo w15:providerId="WPS Office" w15:userId="12761616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B5C8105A"/>
    <w:rsid w:val="000B1CBC"/>
    <w:rsid w:val="00117949"/>
    <w:rsid w:val="001B64CE"/>
    <w:rsid w:val="003E473C"/>
    <w:rsid w:val="00537DB9"/>
    <w:rsid w:val="00576CA3"/>
    <w:rsid w:val="007077D5"/>
    <w:rsid w:val="00732F84"/>
    <w:rsid w:val="008E4723"/>
    <w:rsid w:val="00A274DA"/>
    <w:rsid w:val="00BB02B6"/>
    <w:rsid w:val="00C119FC"/>
    <w:rsid w:val="00C30148"/>
    <w:rsid w:val="00C4159E"/>
    <w:rsid w:val="00D84357"/>
    <w:rsid w:val="00EB6D00"/>
    <w:rsid w:val="00EC035F"/>
    <w:rsid w:val="00F4658C"/>
    <w:rsid w:val="02832E35"/>
    <w:rsid w:val="03766107"/>
    <w:rsid w:val="07A11279"/>
    <w:rsid w:val="07BA233A"/>
    <w:rsid w:val="09B74D83"/>
    <w:rsid w:val="09F14739"/>
    <w:rsid w:val="09FE6C92"/>
    <w:rsid w:val="0A0C3321"/>
    <w:rsid w:val="0BDF05C2"/>
    <w:rsid w:val="0D447276"/>
    <w:rsid w:val="0F59068B"/>
    <w:rsid w:val="0FA3541F"/>
    <w:rsid w:val="112F78F5"/>
    <w:rsid w:val="14830C58"/>
    <w:rsid w:val="15E60DD6"/>
    <w:rsid w:val="16D064A5"/>
    <w:rsid w:val="17984446"/>
    <w:rsid w:val="18027B12"/>
    <w:rsid w:val="184B5A18"/>
    <w:rsid w:val="1AD05CA5"/>
    <w:rsid w:val="1B5C1C2F"/>
    <w:rsid w:val="21CD6D46"/>
    <w:rsid w:val="22226677"/>
    <w:rsid w:val="2369138D"/>
    <w:rsid w:val="25867FD4"/>
    <w:rsid w:val="27280C17"/>
    <w:rsid w:val="2758774E"/>
    <w:rsid w:val="27A85604"/>
    <w:rsid w:val="2AB54EB7"/>
    <w:rsid w:val="2B911481"/>
    <w:rsid w:val="2BA74800"/>
    <w:rsid w:val="2EAD65D1"/>
    <w:rsid w:val="2FB971F8"/>
    <w:rsid w:val="30073ABF"/>
    <w:rsid w:val="32395BA1"/>
    <w:rsid w:val="3240775C"/>
    <w:rsid w:val="329A50BF"/>
    <w:rsid w:val="34A83812"/>
    <w:rsid w:val="34EC3BCC"/>
    <w:rsid w:val="35335357"/>
    <w:rsid w:val="35BE2AD3"/>
    <w:rsid w:val="35EF127D"/>
    <w:rsid w:val="375D490D"/>
    <w:rsid w:val="378B3228"/>
    <w:rsid w:val="37BC5AD7"/>
    <w:rsid w:val="38093155"/>
    <w:rsid w:val="3B051543"/>
    <w:rsid w:val="3C1934F8"/>
    <w:rsid w:val="3DF8538F"/>
    <w:rsid w:val="3E0440A3"/>
    <w:rsid w:val="3E75078E"/>
    <w:rsid w:val="3F762A0F"/>
    <w:rsid w:val="42AC6854"/>
    <w:rsid w:val="432A7D99"/>
    <w:rsid w:val="46862ED8"/>
    <w:rsid w:val="47BA5463"/>
    <w:rsid w:val="4B1B446B"/>
    <w:rsid w:val="4B5B0112"/>
    <w:rsid w:val="504D50C7"/>
    <w:rsid w:val="526D1A50"/>
    <w:rsid w:val="52C5188C"/>
    <w:rsid w:val="53A476F3"/>
    <w:rsid w:val="5DDFE56F"/>
    <w:rsid w:val="614B38A4"/>
    <w:rsid w:val="61691F7C"/>
    <w:rsid w:val="62FD0BCE"/>
    <w:rsid w:val="62FE04A2"/>
    <w:rsid w:val="65474383"/>
    <w:rsid w:val="65A30635"/>
    <w:rsid w:val="6804655B"/>
    <w:rsid w:val="68437083"/>
    <w:rsid w:val="685C0145"/>
    <w:rsid w:val="6AE10DD5"/>
    <w:rsid w:val="6B7457A6"/>
    <w:rsid w:val="6E9817AB"/>
    <w:rsid w:val="6EDA6267"/>
    <w:rsid w:val="6F3516F0"/>
    <w:rsid w:val="70710506"/>
    <w:rsid w:val="70741DA4"/>
    <w:rsid w:val="788D7EA7"/>
    <w:rsid w:val="789456D9"/>
    <w:rsid w:val="7CEF7CB4"/>
    <w:rsid w:val="7D7FE845"/>
    <w:rsid w:val="7DEC38C1"/>
    <w:rsid w:val="7DFBD8B8"/>
    <w:rsid w:val="7FE24F7C"/>
    <w:rsid w:val="9EEFB54C"/>
    <w:rsid w:val="B5C8105A"/>
    <w:rsid w:val="ED368B36"/>
    <w:rsid w:val="EEEB0DE7"/>
    <w:rsid w:val="FBB5ED9F"/>
    <w:rsid w:val="FDF8E456"/>
    <w:rsid w:val="FFDEA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qFormat/>
    <w:uiPriority w:val="0"/>
    <w:rPr>
      <w:sz w:val="24"/>
    </w:rPr>
  </w:style>
  <w:style w:type="character" w:styleId="12">
    <w:name w:val="Strong"/>
    <w:basedOn w:val="11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2504</Words>
  <Characters>2572</Characters>
  <Lines>15</Lines>
  <Paragraphs>4</Paragraphs>
  <TotalTime>318</TotalTime>
  <ScaleCrop>false</ScaleCrop>
  <LinksUpToDate>false</LinksUpToDate>
  <CharactersWithSpaces>2581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2025-12-16T02:08:00Z</dcterms:created>
  <dc:creator>马军</dc:creator>
  <cp:lastModifiedBy>luowei</cp:lastModifiedBy>
  <dcterms:modified xsi:type="dcterms:W3CDTF">2025-12-28T06:25:45Z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CC08349FBA271C772EED0868A3732913_41</vt:lpwstr>
  </property>
  <property fmtid="{D5CDD505-2E9C-101B-9397-08002B2CF9AE}" pid="4" name="KSOTemplateDocerSaveRecord">
    <vt:lpwstr>eyJoZGlkIjoiY2IxMjk0N2NmZTUyNzg3OWJkMDg0ZDhmYTIwYTE2ZGYiLCJ1c2VySWQiOiIyMTQ0Njk5NiJ9</vt:lpwstr>
  </property>
</Properties>
</file>