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9C2" w:rsidRDefault="00504627">
      <w:pPr>
        <w:pBdr>
          <w:top w:val="nil"/>
          <w:left w:val="nil"/>
          <w:bottom w:val="nil"/>
          <w:right w:val="nil"/>
          <w:between w:val="nil"/>
        </w:pBdr>
        <w:rPr>
          <w:rFonts w:ascii="Arial" w:eastAsia="Arial" w:hAnsi="Arial" w:cs="Arial"/>
          <w:color w:val="000000"/>
          <w:sz w:val="22"/>
          <w:szCs w:val="22"/>
        </w:rPr>
      </w:pPr>
      <w:bookmarkStart w:id="0" w:name="_GoBack"/>
      <w:bookmarkEnd w:id="0"/>
      <w:r>
        <w:rPr>
          <w:rFonts w:ascii="Arial" w:eastAsia="Arial" w:hAnsi="Arial" w:cs="Arial"/>
          <w:color w:val="000000"/>
          <w:sz w:val="22"/>
          <w:szCs w:val="22"/>
        </w:rPr>
        <w:t xml:space="preserve">Jack et al.- High-throughput plant defense analysis </w:t>
      </w:r>
    </w:p>
    <w:p w:rsidR="00E279C2" w:rsidRDefault="00E279C2">
      <w:pPr>
        <w:pBdr>
          <w:top w:val="nil"/>
          <w:left w:val="nil"/>
          <w:bottom w:val="nil"/>
          <w:right w:val="nil"/>
          <w:between w:val="nil"/>
        </w:pBdr>
        <w:rPr>
          <w:rFonts w:ascii="Arial" w:eastAsia="Arial" w:hAnsi="Arial" w:cs="Arial"/>
          <w:color w:val="000000"/>
          <w:sz w:val="22"/>
          <w:szCs w:val="22"/>
        </w:rPr>
      </w:pPr>
    </w:p>
    <w:p w:rsidR="00E279C2" w:rsidRDefault="00E279C2">
      <w:pPr>
        <w:pBdr>
          <w:top w:val="nil"/>
          <w:left w:val="nil"/>
          <w:bottom w:val="nil"/>
          <w:right w:val="nil"/>
          <w:between w:val="nil"/>
        </w:pBdr>
        <w:spacing w:line="480" w:lineRule="auto"/>
        <w:jc w:val="center"/>
        <w:rPr>
          <w:rFonts w:ascii="Arial" w:eastAsia="Arial" w:hAnsi="Arial" w:cs="Arial"/>
          <w:b/>
          <w:color w:val="000000"/>
          <w:sz w:val="22"/>
          <w:szCs w:val="22"/>
        </w:rPr>
      </w:pPr>
    </w:p>
    <w:p w:rsidR="00E279C2" w:rsidRDefault="00504627">
      <w:pPr>
        <w:pBdr>
          <w:top w:val="nil"/>
          <w:left w:val="nil"/>
          <w:bottom w:val="nil"/>
          <w:right w:val="nil"/>
          <w:between w:val="nil"/>
        </w:pBdr>
        <w:spacing w:line="480" w:lineRule="auto"/>
        <w:jc w:val="center"/>
        <w:rPr>
          <w:rFonts w:ascii="Arial" w:eastAsia="Arial" w:hAnsi="Arial" w:cs="Arial"/>
          <w:b/>
          <w:color w:val="000000"/>
          <w:sz w:val="22"/>
          <w:szCs w:val="22"/>
        </w:rPr>
      </w:pPr>
      <w:r>
        <w:rPr>
          <w:rFonts w:ascii="Arial" w:eastAsia="Arial" w:hAnsi="Arial" w:cs="Arial"/>
          <w:b/>
          <w:color w:val="000000"/>
          <w:sz w:val="22"/>
          <w:szCs w:val="22"/>
        </w:rPr>
        <w:t>A high-throughput method of analyzing multiple plant defensive compounds in minimized sample mass</w:t>
      </w:r>
      <w:r>
        <w:rPr>
          <w:rFonts w:ascii="Arial" w:eastAsia="Arial" w:hAnsi="Arial" w:cs="Arial"/>
          <w:b/>
          <w:color w:val="000000"/>
          <w:sz w:val="22"/>
          <w:szCs w:val="22"/>
          <w:vertAlign w:val="superscript"/>
        </w:rPr>
        <w:t>1</w:t>
      </w:r>
    </w:p>
    <w:p w:rsidR="00E279C2" w:rsidRDefault="00E279C2">
      <w:pPr>
        <w:pBdr>
          <w:top w:val="nil"/>
          <w:left w:val="nil"/>
          <w:bottom w:val="nil"/>
          <w:right w:val="nil"/>
          <w:between w:val="nil"/>
        </w:pBdr>
        <w:spacing w:line="480" w:lineRule="auto"/>
        <w:jc w:val="center"/>
        <w:rPr>
          <w:rFonts w:ascii="Arial" w:eastAsia="Arial" w:hAnsi="Arial" w:cs="Arial"/>
          <w:b/>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color w:val="000000"/>
          <w:sz w:val="22"/>
          <w:szCs w:val="22"/>
          <w:vertAlign w:val="superscript"/>
        </w:rPr>
      </w:pPr>
      <w:r>
        <w:rPr>
          <w:rFonts w:ascii="Arial" w:eastAsia="Arial" w:hAnsi="Arial" w:cs="Arial"/>
          <w:color w:val="000000"/>
          <w:sz w:val="22"/>
          <w:szCs w:val="22"/>
        </w:rPr>
        <w:t>Chandra N. Jack</w:t>
      </w:r>
      <w:r>
        <w:rPr>
          <w:rFonts w:ascii="Arial" w:eastAsia="Arial" w:hAnsi="Arial" w:cs="Arial"/>
          <w:color w:val="000000"/>
          <w:sz w:val="22"/>
          <w:szCs w:val="22"/>
          <w:vertAlign w:val="superscript"/>
        </w:rPr>
        <w:t>2,6,§</w:t>
      </w:r>
      <w:r>
        <w:rPr>
          <w:rFonts w:ascii="Arial" w:eastAsia="Arial" w:hAnsi="Arial" w:cs="Arial"/>
          <w:color w:val="000000"/>
          <w:sz w:val="22"/>
          <w:szCs w:val="22"/>
        </w:rPr>
        <w:t>, Shawna L. Rowe</w:t>
      </w:r>
      <w:r>
        <w:rPr>
          <w:rFonts w:ascii="Arial" w:eastAsia="Arial" w:hAnsi="Arial" w:cs="Arial"/>
          <w:color w:val="000000"/>
          <w:sz w:val="22"/>
          <w:szCs w:val="22"/>
          <w:vertAlign w:val="superscript"/>
        </w:rPr>
        <w:t>3,§</w:t>
      </w:r>
      <w:r>
        <w:rPr>
          <w:rFonts w:ascii="Arial" w:eastAsia="Arial" w:hAnsi="Arial" w:cs="Arial"/>
          <w:color w:val="000000"/>
          <w:sz w:val="22"/>
          <w:szCs w:val="22"/>
        </w:rPr>
        <w:t>, Stephanie S. Porter</w:t>
      </w:r>
      <w:r>
        <w:rPr>
          <w:rFonts w:ascii="Arial" w:eastAsia="Arial" w:hAnsi="Arial" w:cs="Arial"/>
          <w:color w:val="000000"/>
          <w:sz w:val="22"/>
          <w:szCs w:val="22"/>
          <w:vertAlign w:val="superscript"/>
        </w:rPr>
        <w:t>4</w:t>
      </w:r>
      <w:r>
        <w:rPr>
          <w:rFonts w:ascii="Arial" w:eastAsia="Arial" w:hAnsi="Arial" w:cs="Arial"/>
          <w:color w:val="000000"/>
          <w:sz w:val="22"/>
          <w:szCs w:val="22"/>
        </w:rPr>
        <w:t>, Maren L. Friesen</w:t>
      </w:r>
      <w:r>
        <w:rPr>
          <w:rFonts w:ascii="Arial" w:eastAsia="Arial" w:hAnsi="Arial" w:cs="Arial"/>
          <w:color w:val="000000"/>
          <w:sz w:val="22"/>
          <w:szCs w:val="22"/>
          <w:vertAlign w:val="superscript"/>
        </w:rPr>
        <w:t>2,5</w:t>
      </w:r>
    </w:p>
    <w:p w:rsidR="00E279C2" w:rsidRDefault="00E279C2">
      <w:pPr>
        <w:pBdr>
          <w:top w:val="nil"/>
          <w:left w:val="nil"/>
          <w:bottom w:val="nil"/>
          <w:right w:val="nil"/>
          <w:between w:val="nil"/>
        </w:pBdr>
        <w:spacing w:line="480" w:lineRule="auto"/>
        <w:rPr>
          <w:rFonts w:ascii="Arial" w:eastAsia="Arial" w:hAnsi="Arial" w:cs="Arial"/>
          <w:color w:val="000000"/>
          <w:sz w:val="22"/>
          <w:szCs w:val="22"/>
          <w:vertAlign w:val="superscript"/>
        </w:rPr>
      </w:pP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vertAlign w:val="superscript"/>
        </w:rPr>
        <w:t xml:space="preserve">2 </w:t>
      </w:r>
      <w:r>
        <w:rPr>
          <w:rFonts w:ascii="Arial" w:eastAsia="Arial" w:hAnsi="Arial" w:cs="Arial"/>
          <w:color w:val="000000"/>
          <w:sz w:val="22"/>
          <w:szCs w:val="22"/>
        </w:rPr>
        <w:t>Washington State University, Department of Plant Pathology, Pullman, WA, 99164</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vertAlign w:val="superscript"/>
        </w:rPr>
        <w:t xml:space="preserve">3 </w:t>
      </w:r>
      <w:r>
        <w:rPr>
          <w:rFonts w:ascii="Arial" w:eastAsia="Arial" w:hAnsi="Arial" w:cs="Arial"/>
          <w:color w:val="000000"/>
          <w:sz w:val="22"/>
          <w:szCs w:val="22"/>
        </w:rPr>
        <w:t>Michigan State University, Department of Plant Biology, East Lansing, MI 48824</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vertAlign w:val="superscript"/>
        </w:rPr>
        <w:t xml:space="preserve">4 </w:t>
      </w:r>
      <w:r>
        <w:rPr>
          <w:rFonts w:ascii="Arial" w:eastAsia="Arial" w:hAnsi="Arial" w:cs="Arial"/>
          <w:color w:val="000000"/>
          <w:sz w:val="22"/>
          <w:szCs w:val="22"/>
        </w:rPr>
        <w:t>Washington State University, School of Biological Sciences, Vancouver, WA</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vertAlign w:val="superscript"/>
        </w:rPr>
        <w:t xml:space="preserve">5 </w:t>
      </w:r>
      <w:r>
        <w:rPr>
          <w:rFonts w:ascii="Arial" w:eastAsia="Arial" w:hAnsi="Arial" w:cs="Arial"/>
          <w:color w:val="000000"/>
          <w:sz w:val="22"/>
          <w:szCs w:val="22"/>
        </w:rPr>
        <w:t>Washington State University, Department of Crop and Soil Sciences, Pullman, WA</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 </w:t>
      </w:r>
      <w:r>
        <w:rPr>
          <w:rFonts w:ascii="Arial" w:eastAsia="Arial" w:hAnsi="Arial" w:cs="Arial"/>
          <w:color w:val="000000"/>
          <w:sz w:val="22"/>
          <w:szCs w:val="22"/>
          <w:vertAlign w:val="superscript"/>
        </w:rPr>
        <w:t>§</w:t>
      </w:r>
      <w:r>
        <w:rPr>
          <w:rFonts w:ascii="Arial" w:eastAsia="Arial" w:hAnsi="Arial" w:cs="Arial"/>
          <w:color w:val="000000"/>
          <w:sz w:val="22"/>
          <w:szCs w:val="22"/>
        </w:rPr>
        <w:t xml:space="preserve">Co-first authors </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 xml:space="preserve">Email Addresses: CNJ: </w:t>
      </w:r>
      <w:hyperlink r:id="rId8">
        <w:r>
          <w:rPr>
            <w:rFonts w:ascii="Arial" w:eastAsia="Arial" w:hAnsi="Arial" w:cs="Arial"/>
            <w:color w:val="0000FF"/>
            <w:sz w:val="22"/>
            <w:szCs w:val="22"/>
            <w:u w:val="single"/>
          </w:rPr>
          <w:t>chandra.jack@gmail.com</w:t>
        </w:r>
      </w:hyperlink>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t xml:space="preserve">     SLR: </w:t>
      </w:r>
      <w:hyperlink r:id="rId9">
        <w:r>
          <w:rPr>
            <w:rFonts w:ascii="Arial" w:eastAsia="Arial" w:hAnsi="Arial" w:cs="Arial"/>
            <w:color w:val="0000FF"/>
            <w:sz w:val="22"/>
            <w:szCs w:val="22"/>
            <w:u w:val="single"/>
          </w:rPr>
          <w:t>roweshaw@gmail.com</w:t>
        </w:r>
      </w:hyperlink>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t xml:space="preserve">     SSP: </w:t>
      </w:r>
      <w:hyperlink r:id="rId10">
        <w:r>
          <w:rPr>
            <w:rFonts w:ascii="Arial" w:eastAsia="Arial" w:hAnsi="Arial" w:cs="Arial"/>
            <w:color w:val="0000FF"/>
            <w:sz w:val="22"/>
            <w:szCs w:val="22"/>
            <w:u w:val="single"/>
          </w:rPr>
          <w:t>stephanie.porter@wsu.edu</w:t>
        </w:r>
      </w:hyperlink>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t xml:space="preserve">     MLF: </w:t>
      </w:r>
      <w:hyperlink r:id="rId11">
        <w:r>
          <w:rPr>
            <w:rFonts w:ascii="Arial" w:eastAsia="Arial" w:hAnsi="Arial" w:cs="Arial"/>
            <w:color w:val="0000FF"/>
            <w:sz w:val="22"/>
            <w:szCs w:val="22"/>
            <w:u w:val="single"/>
          </w:rPr>
          <w:t>m.friesen@wsu.edu</w:t>
        </w:r>
      </w:hyperlink>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9A3A56">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Number of words: 3493</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vertAlign w:val="superscript"/>
        </w:rPr>
        <w:t xml:space="preserve">1 </w:t>
      </w:r>
      <w:r>
        <w:rPr>
          <w:rFonts w:ascii="Arial" w:eastAsia="Arial" w:hAnsi="Arial" w:cs="Arial"/>
          <w:color w:val="000000"/>
          <w:sz w:val="22"/>
          <w:szCs w:val="22"/>
        </w:rPr>
        <w:t xml:space="preserve">Manuscript received _______; revision accepted _______. </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vertAlign w:val="superscript"/>
        </w:rPr>
        <w:t xml:space="preserve">6 </w:t>
      </w:r>
      <w:r>
        <w:rPr>
          <w:rFonts w:ascii="Arial" w:eastAsia="Arial" w:hAnsi="Arial" w:cs="Arial"/>
          <w:color w:val="000000"/>
          <w:sz w:val="22"/>
          <w:szCs w:val="22"/>
        </w:rPr>
        <w:t xml:space="preserve">Author for correspondence: </w:t>
      </w:r>
      <w:hyperlink r:id="rId12">
        <w:r>
          <w:rPr>
            <w:rFonts w:ascii="Arial" w:eastAsia="Arial" w:hAnsi="Arial" w:cs="Arial"/>
            <w:color w:val="0000FF"/>
            <w:sz w:val="22"/>
            <w:szCs w:val="22"/>
            <w:u w:val="single"/>
          </w:rPr>
          <w:t>chandra.jack@gmail.com</w:t>
        </w:r>
      </w:hyperlink>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E279C2">
      <w:pPr>
        <w:pBdr>
          <w:top w:val="nil"/>
          <w:left w:val="nil"/>
          <w:bottom w:val="nil"/>
          <w:right w:val="nil"/>
          <w:between w:val="nil"/>
        </w:pBdr>
        <w:spacing w:line="480" w:lineRule="auto"/>
        <w:jc w:val="center"/>
        <w:rPr>
          <w:rFonts w:ascii="Arial" w:eastAsia="Arial" w:hAnsi="Arial" w:cs="Arial"/>
          <w:b/>
          <w:color w:val="000000"/>
          <w:sz w:val="22"/>
          <w:szCs w:val="22"/>
        </w:rPr>
      </w:pPr>
    </w:p>
    <w:p w:rsidR="00E279C2" w:rsidRDefault="00E279C2">
      <w:pPr>
        <w:pBdr>
          <w:top w:val="nil"/>
          <w:left w:val="nil"/>
          <w:bottom w:val="nil"/>
          <w:right w:val="nil"/>
          <w:between w:val="nil"/>
        </w:pBdr>
        <w:spacing w:line="480" w:lineRule="auto"/>
        <w:jc w:val="center"/>
        <w:rPr>
          <w:rFonts w:ascii="Arial" w:eastAsia="Arial" w:hAnsi="Arial" w:cs="Arial"/>
          <w:b/>
          <w:color w:val="000000"/>
          <w:sz w:val="22"/>
          <w:szCs w:val="22"/>
        </w:rPr>
      </w:pPr>
    </w:p>
    <w:p w:rsidR="00E279C2" w:rsidRDefault="00E279C2">
      <w:pPr>
        <w:pBdr>
          <w:top w:val="nil"/>
          <w:left w:val="nil"/>
          <w:bottom w:val="nil"/>
          <w:right w:val="nil"/>
          <w:between w:val="nil"/>
        </w:pBdr>
        <w:spacing w:line="480" w:lineRule="auto"/>
        <w:jc w:val="center"/>
        <w:rPr>
          <w:rFonts w:ascii="Arial" w:eastAsia="Arial" w:hAnsi="Arial" w:cs="Arial"/>
          <w:b/>
          <w:color w:val="000000"/>
          <w:sz w:val="22"/>
          <w:szCs w:val="22"/>
        </w:rPr>
      </w:pPr>
    </w:p>
    <w:p w:rsidR="00E279C2" w:rsidRDefault="00E279C2">
      <w:pPr>
        <w:pBdr>
          <w:top w:val="nil"/>
          <w:left w:val="nil"/>
          <w:bottom w:val="nil"/>
          <w:right w:val="nil"/>
          <w:between w:val="nil"/>
        </w:pBdr>
        <w:spacing w:line="480" w:lineRule="auto"/>
        <w:jc w:val="center"/>
        <w:rPr>
          <w:rFonts w:ascii="Arial" w:eastAsia="Arial" w:hAnsi="Arial" w:cs="Arial"/>
          <w:b/>
          <w:color w:val="000000"/>
          <w:sz w:val="22"/>
          <w:szCs w:val="22"/>
        </w:rPr>
      </w:pPr>
    </w:p>
    <w:p w:rsidR="00E279C2" w:rsidRDefault="00504627">
      <w:pPr>
        <w:pBdr>
          <w:top w:val="nil"/>
          <w:left w:val="nil"/>
          <w:bottom w:val="nil"/>
          <w:right w:val="nil"/>
          <w:between w:val="nil"/>
        </w:pBdr>
        <w:spacing w:line="480" w:lineRule="auto"/>
        <w:jc w:val="center"/>
        <w:rPr>
          <w:rFonts w:ascii="Arial" w:eastAsia="Arial" w:hAnsi="Arial" w:cs="Arial"/>
          <w:b/>
          <w:color w:val="000000"/>
          <w:sz w:val="22"/>
          <w:szCs w:val="22"/>
        </w:rPr>
      </w:pPr>
      <w:r>
        <w:rPr>
          <w:rFonts w:ascii="Arial" w:eastAsia="Arial" w:hAnsi="Arial" w:cs="Arial"/>
          <w:b/>
          <w:color w:val="000000"/>
          <w:sz w:val="22"/>
          <w:szCs w:val="22"/>
        </w:rPr>
        <w:t xml:space="preserve">ABSTRACT </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i/>
          <w:color w:val="000000"/>
          <w:sz w:val="22"/>
          <w:szCs w:val="22"/>
        </w:rPr>
        <w:t xml:space="preserve">Premise of the study: </w:t>
      </w:r>
      <w:r>
        <w:rPr>
          <w:rFonts w:ascii="Arial" w:eastAsia="Arial" w:hAnsi="Arial" w:cs="Arial"/>
          <w:color w:val="000000"/>
          <w:sz w:val="22"/>
          <w:szCs w:val="22"/>
        </w:rPr>
        <w:t xml:space="preserve">Current methods for quantifying herbivore-caused </w:t>
      </w:r>
      <w:r>
        <w:rPr>
          <w:rFonts w:ascii="Arial" w:eastAsia="Arial" w:hAnsi="Arial" w:cs="Arial"/>
          <w:color w:val="000000"/>
          <w:sz w:val="22"/>
          <w:szCs w:val="22"/>
          <w:highlight w:val="white"/>
        </w:rPr>
        <w:t xml:space="preserve">alterations in plant biochemistry </w:t>
      </w:r>
      <w:r>
        <w:rPr>
          <w:rFonts w:ascii="Arial" w:eastAsia="Arial" w:hAnsi="Arial" w:cs="Arial"/>
          <w:color w:val="000000"/>
          <w:sz w:val="22"/>
          <w:szCs w:val="22"/>
        </w:rPr>
        <w:t>are expensive, time-consuming, and require large tissue amounts. We present a cost-effective, high-throughput protocol to quantify multiple biochemical responses from small plant tissue samples using spectrophotometric techniques.</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i/>
          <w:color w:val="000000"/>
          <w:sz w:val="22"/>
          <w:szCs w:val="22"/>
        </w:rPr>
        <w:t xml:space="preserve">Methods and Results: </w:t>
      </w:r>
      <w:r>
        <w:rPr>
          <w:rFonts w:ascii="Arial" w:eastAsia="Arial" w:hAnsi="Arial" w:cs="Arial"/>
          <w:color w:val="000000"/>
          <w:sz w:val="22"/>
          <w:szCs w:val="22"/>
        </w:rPr>
        <w:t xml:space="preserve">Using </w:t>
      </w:r>
      <w:r>
        <w:rPr>
          <w:rFonts w:ascii="Arial" w:eastAsia="Arial" w:hAnsi="Arial" w:cs="Arial"/>
          <w:i/>
          <w:color w:val="000000"/>
          <w:sz w:val="22"/>
          <w:szCs w:val="22"/>
        </w:rPr>
        <w:t>Solanum lycopersicum</w:t>
      </w:r>
      <w:r>
        <w:rPr>
          <w:rFonts w:ascii="Arial" w:eastAsia="Arial" w:hAnsi="Arial" w:cs="Arial"/>
          <w:color w:val="000000"/>
          <w:sz w:val="22"/>
          <w:szCs w:val="22"/>
        </w:rPr>
        <w:t xml:space="preserve"> and </w:t>
      </w:r>
      <w:r>
        <w:rPr>
          <w:rFonts w:ascii="Arial" w:eastAsia="Arial" w:hAnsi="Arial" w:cs="Arial"/>
          <w:i/>
          <w:color w:val="000000"/>
          <w:sz w:val="22"/>
          <w:szCs w:val="22"/>
        </w:rPr>
        <w:t>Medicago polymorpha</w:t>
      </w:r>
      <w:r>
        <w:rPr>
          <w:rFonts w:ascii="Arial" w:eastAsia="Arial" w:hAnsi="Arial" w:cs="Arial"/>
          <w:color w:val="000000"/>
          <w:sz w:val="22"/>
          <w:szCs w:val="22"/>
        </w:rPr>
        <w:t xml:space="preserve"> leaves pre- and post-herbivory, we demonstrate that our protocol quantifies common plant defense responses: peroxidase production, polyphenol oxidase production, </w:t>
      </w:r>
      <w:r>
        <w:rPr>
          <w:rFonts w:ascii="Arial" w:eastAsia="Arial" w:hAnsi="Arial" w:cs="Arial"/>
          <w:sz w:val="22"/>
          <w:szCs w:val="22"/>
        </w:rPr>
        <w:t>reactive oxygen species</w:t>
      </w:r>
      <w:r>
        <w:rPr>
          <w:rFonts w:ascii="Arial" w:eastAsia="Arial" w:hAnsi="Arial" w:cs="Arial"/>
          <w:color w:val="000000"/>
          <w:sz w:val="22"/>
          <w:szCs w:val="22"/>
        </w:rPr>
        <w:t xml:space="preserve"> production, total protein production, and</w:t>
      </w:r>
      <w:r w:rsidR="00DB0DA9" w:rsidRPr="00DB0DA9">
        <w:rPr>
          <w:rFonts w:ascii="Arial" w:eastAsia="Arial" w:hAnsi="Arial" w:cs="Arial"/>
          <w:sz w:val="22"/>
          <w:szCs w:val="22"/>
        </w:rPr>
        <w:t xml:space="preserve"> </w:t>
      </w:r>
      <w:r w:rsidR="00DB0DA9">
        <w:rPr>
          <w:rFonts w:ascii="Arial" w:eastAsia="Arial" w:hAnsi="Arial" w:cs="Arial"/>
          <w:sz w:val="22"/>
          <w:szCs w:val="22"/>
        </w:rPr>
        <w:t>Trypsin-like</w:t>
      </w:r>
      <w:r w:rsidR="00BF7E21">
        <w:rPr>
          <w:rFonts w:ascii="Arial" w:eastAsia="Arial" w:hAnsi="Arial" w:cs="Arial"/>
          <w:color w:val="000000"/>
          <w:sz w:val="22"/>
          <w:szCs w:val="22"/>
        </w:rPr>
        <w:t xml:space="preserve"> prote</w:t>
      </w:r>
      <w:r>
        <w:rPr>
          <w:rFonts w:ascii="Arial" w:eastAsia="Arial" w:hAnsi="Arial" w:cs="Arial"/>
          <w:color w:val="000000"/>
          <w:sz w:val="22"/>
          <w:szCs w:val="22"/>
        </w:rPr>
        <w:t xml:space="preserve">ase inhibition activity. </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i/>
          <w:color w:val="000000"/>
          <w:sz w:val="22"/>
          <w:szCs w:val="22"/>
        </w:rPr>
        <w:t xml:space="preserve">Conclusions: </w:t>
      </w:r>
      <w:r>
        <w:rPr>
          <w:rFonts w:ascii="Arial" w:eastAsia="Arial" w:hAnsi="Arial" w:cs="Arial"/>
          <w:color w:val="000000"/>
          <w:sz w:val="22"/>
          <w:szCs w:val="22"/>
        </w:rPr>
        <w:t>Current protocols can require 500 mg of tissue, but our assays detect activity in under 10 mg. Our protocol takes two people approximately 6 hours to run any of the assays on 300 samples in triplicate, or all of the assays on 20 samples. Our protocol enables researchers to plan complex experiments that compare local versus systemic plant responses, quantify environmental and genetic variation, and measure population level variation.</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b/>
          <w:color w:val="000000"/>
          <w:sz w:val="22"/>
          <w:szCs w:val="22"/>
        </w:rPr>
      </w:pPr>
      <w:r>
        <w:rPr>
          <w:rFonts w:ascii="Arial" w:eastAsia="Arial" w:hAnsi="Arial" w:cs="Arial"/>
          <w:b/>
          <w:color w:val="000000"/>
          <w:sz w:val="22"/>
          <w:szCs w:val="22"/>
        </w:rPr>
        <w:t xml:space="preserve">Key words: </w:t>
      </w:r>
      <w:r>
        <w:rPr>
          <w:rFonts w:ascii="Arial" w:eastAsia="Arial" w:hAnsi="Arial" w:cs="Arial"/>
          <w:color w:val="000000"/>
          <w:sz w:val="22"/>
          <w:szCs w:val="22"/>
        </w:rPr>
        <w:t xml:space="preserve">Microplate; Plant Defense Response; Peroxidase; Polyphenol oxidase; </w:t>
      </w:r>
      <w:r w:rsidR="00BF7E21">
        <w:rPr>
          <w:rFonts w:ascii="Arial" w:eastAsia="Arial" w:hAnsi="Arial" w:cs="Arial"/>
          <w:color w:val="000000"/>
          <w:sz w:val="22"/>
          <w:szCs w:val="22"/>
        </w:rPr>
        <w:t xml:space="preserve">Protease </w:t>
      </w:r>
      <w:r>
        <w:rPr>
          <w:rFonts w:ascii="Arial" w:eastAsia="Arial" w:hAnsi="Arial" w:cs="Arial"/>
          <w:color w:val="000000"/>
          <w:sz w:val="22"/>
          <w:szCs w:val="22"/>
        </w:rPr>
        <w:t xml:space="preserve">Inhibitors; Protein Quantification </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E279C2">
      <w:pPr>
        <w:pBdr>
          <w:top w:val="nil"/>
          <w:left w:val="nil"/>
          <w:bottom w:val="nil"/>
          <w:right w:val="nil"/>
          <w:between w:val="nil"/>
        </w:pBdr>
        <w:spacing w:line="480" w:lineRule="auto"/>
        <w:jc w:val="center"/>
        <w:rPr>
          <w:rFonts w:ascii="Arial" w:eastAsia="Arial" w:hAnsi="Arial" w:cs="Arial"/>
          <w:b/>
          <w:color w:val="000000"/>
          <w:sz w:val="22"/>
          <w:szCs w:val="22"/>
        </w:rPr>
      </w:pPr>
    </w:p>
    <w:p w:rsidR="00E279C2" w:rsidRDefault="00E279C2">
      <w:pPr>
        <w:pBdr>
          <w:top w:val="nil"/>
          <w:left w:val="nil"/>
          <w:bottom w:val="nil"/>
          <w:right w:val="nil"/>
          <w:between w:val="nil"/>
        </w:pBdr>
        <w:spacing w:line="480" w:lineRule="auto"/>
        <w:jc w:val="center"/>
        <w:rPr>
          <w:rFonts w:ascii="Arial" w:eastAsia="Arial" w:hAnsi="Arial" w:cs="Arial"/>
          <w:b/>
          <w:color w:val="000000"/>
          <w:sz w:val="22"/>
          <w:szCs w:val="22"/>
        </w:rPr>
      </w:pPr>
    </w:p>
    <w:p w:rsidR="00E279C2" w:rsidRDefault="00504627">
      <w:pPr>
        <w:pBdr>
          <w:top w:val="nil"/>
          <w:left w:val="nil"/>
          <w:bottom w:val="nil"/>
          <w:right w:val="nil"/>
          <w:between w:val="nil"/>
        </w:pBdr>
        <w:spacing w:line="480" w:lineRule="auto"/>
        <w:jc w:val="center"/>
        <w:rPr>
          <w:rFonts w:ascii="Arial" w:eastAsia="Arial" w:hAnsi="Arial" w:cs="Arial"/>
          <w:i/>
          <w:color w:val="000000"/>
          <w:sz w:val="22"/>
          <w:szCs w:val="22"/>
        </w:rPr>
      </w:pPr>
      <w:r>
        <w:rPr>
          <w:rFonts w:ascii="Arial" w:eastAsia="Arial" w:hAnsi="Arial" w:cs="Arial"/>
          <w:b/>
          <w:color w:val="000000"/>
          <w:sz w:val="22"/>
          <w:szCs w:val="22"/>
        </w:rPr>
        <w:t xml:space="preserve">INTRODUCTION </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The ability to quantify plant molecular responses to herbivory over time and compare variation within populations is useful in many research areas from ecology and evolutionary biology to applied agricultural research. Unfortuna</w:t>
      </w:r>
      <w:r>
        <w:rPr>
          <w:rFonts w:ascii="Arial" w:eastAsia="Arial" w:hAnsi="Arial" w:cs="Arial"/>
          <w:sz w:val="22"/>
          <w:szCs w:val="22"/>
        </w:rPr>
        <w:t xml:space="preserve">tely, current methods are expensive, time consuming, and typically require large tissue masses. </w:t>
      </w:r>
      <w:r>
        <w:rPr>
          <w:rFonts w:ascii="Arial" w:eastAsia="Arial" w:hAnsi="Arial" w:cs="Arial"/>
          <w:color w:val="000000"/>
          <w:sz w:val="22"/>
          <w:szCs w:val="22"/>
        </w:rPr>
        <w:t>However, like many attempts to assay molecular responses, research is limited by the rigorous nature of quantifying subtle physiological changes. Previously developed assays are thus effective but unusable by many researchers due to financial constraints - (i.e. lack of access to spectrophotometers or large quantities of reagents) or the need to conduct a given assay on a large set of samples. These constraints have been recognized and addressed in some instances, such as protein quantification (Olson and Markwell 2007). With the development and widespread use of microplate readers, some assays such as protease inhibition and protein quantification, have been scaled and optimized for smaller reaction volumes and larger sample numbers resulting in better replication (Pande and Murthy 1994; Olson and Markwell 2007).</w:t>
      </w:r>
    </w:p>
    <w:p w:rsidR="00E279C2" w:rsidRDefault="00504627">
      <w:pPr>
        <w:spacing w:line="480" w:lineRule="auto"/>
        <w:ind w:firstLine="720"/>
        <w:rPr>
          <w:rFonts w:ascii="Arial" w:eastAsia="Arial" w:hAnsi="Arial" w:cs="Arial"/>
          <w:sz w:val="22"/>
          <w:szCs w:val="22"/>
        </w:rPr>
      </w:pPr>
      <w:r>
        <w:rPr>
          <w:rFonts w:ascii="Arial" w:eastAsia="Arial" w:hAnsi="Arial" w:cs="Arial"/>
          <w:sz w:val="22"/>
          <w:szCs w:val="22"/>
        </w:rPr>
        <w:t>One of the earliest biochemical responses to herbivory is the production of reactive oxygen species (ROS) such as superoxide (O</w:t>
      </w:r>
      <w:r>
        <w:rPr>
          <w:rFonts w:ascii="Arial" w:eastAsia="Arial" w:hAnsi="Arial" w:cs="Arial"/>
          <w:sz w:val="22"/>
          <w:szCs w:val="22"/>
          <w:vertAlign w:val="superscript"/>
        </w:rPr>
        <w:t>-</w:t>
      </w:r>
      <w:r>
        <w:rPr>
          <w:rFonts w:ascii="Arial" w:eastAsia="Arial" w:hAnsi="Arial" w:cs="Arial"/>
          <w:sz w:val="22"/>
          <w:szCs w:val="22"/>
        </w:rPr>
        <w:t>), hydrogen peroxide (H</w:t>
      </w:r>
      <w:r>
        <w:rPr>
          <w:rFonts w:ascii="Arial" w:eastAsia="Arial" w:hAnsi="Arial" w:cs="Arial"/>
          <w:sz w:val="22"/>
          <w:szCs w:val="22"/>
          <w:vertAlign w:val="subscript"/>
        </w:rPr>
        <w:t>2</w:t>
      </w:r>
      <w:r>
        <w:rPr>
          <w:rFonts w:ascii="Arial" w:eastAsia="Arial" w:hAnsi="Arial" w:cs="Arial"/>
          <w:sz w:val="22"/>
          <w:szCs w:val="22"/>
        </w:rPr>
        <w:t>O</w:t>
      </w:r>
      <w:r>
        <w:rPr>
          <w:rFonts w:ascii="Arial" w:eastAsia="Arial" w:hAnsi="Arial" w:cs="Arial"/>
          <w:sz w:val="22"/>
          <w:szCs w:val="22"/>
          <w:vertAlign w:val="subscript"/>
        </w:rPr>
        <w:t>2</w:t>
      </w:r>
      <w:r>
        <w:rPr>
          <w:rFonts w:ascii="Arial" w:eastAsia="Arial" w:hAnsi="Arial" w:cs="Arial"/>
          <w:sz w:val="22"/>
          <w:szCs w:val="22"/>
        </w:rPr>
        <w:t>), and hydroxyl radicals (HO</w:t>
      </w:r>
      <w:r>
        <w:rPr>
          <w:rFonts w:ascii="Arial" w:eastAsia="Arial" w:hAnsi="Arial" w:cs="Arial"/>
          <w:sz w:val="22"/>
          <w:szCs w:val="22"/>
          <w:vertAlign w:val="superscript"/>
        </w:rPr>
        <w:t>-</w:t>
      </w:r>
      <w:r>
        <w:rPr>
          <w:rFonts w:ascii="Arial" w:eastAsia="Arial" w:hAnsi="Arial" w:cs="Arial"/>
          <w:sz w:val="22"/>
          <w:szCs w:val="22"/>
        </w:rPr>
        <w:t>) after depolarization of the plasma membrane due to leaf damage (Maffei et al 2012; War et al 2012; Zebelo &amp; Maffei 2015). Both chemical treatments and mechanical wounding can elicit ROS production (</w:t>
      </w:r>
      <w:r>
        <w:rPr>
          <w:rFonts w:ascii="Arial" w:eastAsia="Arial" w:hAnsi="Arial" w:cs="Arial"/>
          <w:sz w:val="22"/>
          <w:szCs w:val="22"/>
          <w:highlight w:val="white"/>
        </w:rPr>
        <w:t>Maffei et al 2007</w:t>
      </w:r>
      <w:r>
        <w:rPr>
          <w:rFonts w:ascii="Arial" w:eastAsia="Arial" w:hAnsi="Arial" w:cs="Arial"/>
          <w:sz w:val="22"/>
          <w:szCs w:val="22"/>
        </w:rPr>
        <w:t>). H</w:t>
      </w:r>
      <w:r>
        <w:rPr>
          <w:rFonts w:ascii="Arial" w:eastAsia="Arial" w:hAnsi="Arial" w:cs="Arial"/>
          <w:sz w:val="22"/>
          <w:szCs w:val="22"/>
          <w:vertAlign w:val="subscript"/>
        </w:rPr>
        <w:t>2</w:t>
      </w:r>
      <w:r>
        <w:rPr>
          <w:rFonts w:ascii="Arial" w:eastAsia="Arial" w:hAnsi="Arial" w:cs="Arial"/>
          <w:sz w:val="22"/>
          <w:szCs w:val="22"/>
        </w:rPr>
        <w:t>O</w:t>
      </w:r>
      <w:r>
        <w:rPr>
          <w:rFonts w:ascii="Arial" w:eastAsia="Arial" w:hAnsi="Arial" w:cs="Arial"/>
          <w:sz w:val="22"/>
          <w:szCs w:val="22"/>
          <w:vertAlign w:val="subscript"/>
        </w:rPr>
        <w:t>2</w:t>
      </w:r>
      <w:r>
        <w:rPr>
          <w:rFonts w:ascii="Arial" w:eastAsia="Arial" w:hAnsi="Arial" w:cs="Arial"/>
          <w:sz w:val="22"/>
          <w:szCs w:val="22"/>
        </w:rPr>
        <w:t xml:space="preserve"> production is both used as a local signal to induce the hypersensitive response when plants are subjected to mechanical damage as well as a systemic signal for the induction of additional defense responses (</w:t>
      </w:r>
      <w:r w:rsidRPr="00447397">
        <w:rPr>
          <w:rFonts w:ascii="Arial" w:eastAsia="Arial" w:hAnsi="Arial" w:cs="Arial"/>
          <w:color w:val="000000" w:themeColor="text1"/>
          <w:sz w:val="22"/>
          <w:szCs w:val="22"/>
          <w:highlight w:val="white"/>
        </w:rPr>
        <w:t xml:space="preserve">Orozco-Cárdenas </w:t>
      </w:r>
      <w:r>
        <w:rPr>
          <w:rFonts w:ascii="Arial" w:eastAsia="Arial" w:hAnsi="Arial" w:cs="Arial"/>
          <w:color w:val="222222"/>
          <w:sz w:val="22"/>
          <w:szCs w:val="22"/>
          <w:highlight w:val="white"/>
        </w:rPr>
        <w:t>&amp; Ryan 1999)</w:t>
      </w:r>
      <w:r>
        <w:rPr>
          <w:rFonts w:ascii="Arial" w:eastAsia="Arial" w:hAnsi="Arial" w:cs="Arial"/>
          <w:sz w:val="22"/>
          <w:szCs w:val="22"/>
        </w:rPr>
        <w:t xml:space="preserve">. The presence and activity of ROS additionally results in the production of a group of enzymes, peroxidases </w:t>
      </w:r>
      <w:r>
        <w:rPr>
          <w:rFonts w:ascii="Arial" w:eastAsia="Arial" w:hAnsi="Arial" w:cs="Arial"/>
          <w:sz w:val="22"/>
          <w:szCs w:val="22"/>
        </w:rPr>
        <w:lastRenderedPageBreak/>
        <w:t xml:space="preserve">(POD), that are upregulated to perform a diverse set of physiological processes such as metabolism of ROS, restructuring of cellular walls, cross-linking of complex polymers, and other critical functions (War et al 2012). Increases in POD activity also decrease the nutritional quality of leaf tissue, which significantly reduces the growth and development of insect larvae. Finally, the presence of plant PODs in insect guts may also be toxic to insects. </w:t>
      </w:r>
    </w:p>
    <w:p w:rsidR="00E279C2" w:rsidRDefault="00504627">
      <w:pPr>
        <w:spacing w:line="480" w:lineRule="auto"/>
        <w:ind w:firstLine="720"/>
        <w:rPr>
          <w:rFonts w:ascii="Arial" w:eastAsia="Arial" w:hAnsi="Arial" w:cs="Arial"/>
          <w:sz w:val="22"/>
          <w:szCs w:val="22"/>
        </w:rPr>
      </w:pPr>
      <w:r>
        <w:rPr>
          <w:rFonts w:ascii="Arial" w:eastAsia="Arial" w:hAnsi="Arial" w:cs="Arial"/>
          <w:sz w:val="22"/>
          <w:szCs w:val="22"/>
        </w:rPr>
        <w:t>Two additional compounds that are produced in response to herbivory are poly</w:t>
      </w:r>
      <w:r w:rsidR="00BF7E21">
        <w:rPr>
          <w:rFonts w:ascii="Arial" w:eastAsia="Arial" w:hAnsi="Arial" w:cs="Arial"/>
          <w:sz w:val="22"/>
          <w:szCs w:val="22"/>
        </w:rPr>
        <w:t>phenol oxidase (PPO) and prote</w:t>
      </w:r>
      <w:r>
        <w:rPr>
          <w:rFonts w:ascii="Arial" w:eastAsia="Arial" w:hAnsi="Arial" w:cs="Arial"/>
          <w:sz w:val="22"/>
          <w:szCs w:val="22"/>
        </w:rPr>
        <w:t>ase inhibitors (PI) (</w:t>
      </w:r>
      <w:r>
        <w:rPr>
          <w:rFonts w:ascii="Arial" w:eastAsia="Arial" w:hAnsi="Arial" w:cs="Arial"/>
          <w:sz w:val="22"/>
          <w:szCs w:val="22"/>
          <w:highlight w:val="white"/>
        </w:rPr>
        <w:t xml:space="preserve">Mithöfer </w:t>
      </w:r>
      <w:r>
        <w:rPr>
          <w:rFonts w:ascii="Arial" w:eastAsia="Arial" w:hAnsi="Arial" w:cs="Arial"/>
          <w:color w:val="222222"/>
          <w:sz w:val="22"/>
          <w:szCs w:val="22"/>
          <w:highlight w:val="white"/>
        </w:rPr>
        <w:t>&amp; Bola</w:t>
      </w:r>
      <w:r>
        <w:rPr>
          <w:rFonts w:ascii="Arial" w:eastAsia="Arial" w:hAnsi="Arial" w:cs="Arial"/>
          <w:sz w:val="22"/>
          <w:szCs w:val="22"/>
          <w:highlight w:val="white"/>
        </w:rPr>
        <w:t xml:space="preserve">nd 2012; </w:t>
      </w:r>
      <w:r>
        <w:rPr>
          <w:rFonts w:ascii="Arial" w:eastAsia="Arial" w:hAnsi="Arial" w:cs="Arial"/>
          <w:sz w:val="22"/>
          <w:szCs w:val="22"/>
        </w:rPr>
        <w:t>War et al 2012). PPO is upregulated directly by the presence of herbivore-associated signaling compounds such as methyl-jasmonate (Koussevitzky et al 2004). PPO breaks down diphenolic compounds to produce more reactive phenolic compounds that have anti-insect activity once consumed (War et al 2012). Protease inhibitors (PI) are small molecules that prevent proteolytic activity. In response to herbivores, plants will produce PIs to inhibit protein catabolism in insect guts which can halt the degradation of proteins that may serve as precursors used for various physiological processes (</w:t>
      </w:r>
      <w:r>
        <w:rPr>
          <w:rFonts w:ascii="Arial" w:eastAsia="Arial" w:hAnsi="Arial" w:cs="Arial"/>
          <w:sz w:val="22"/>
          <w:szCs w:val="22"/>
          <w:highlight w:val="white"/>
        </w:rPr>
        <w:t>Mithöfer &amp; Boland 2012</w:t>
      </w:r>
      <w:r>
        <w:rPr>
          <w:rFonts w:ascii="Arial" w:eastAsia="Arial" w:hAnsi="Arial" w:cs="Arial"/>
          <w:sz w:val="22"/>
          <w:szCs w:val="22"/>
        </w:rPr>
        <w:t>).</w:t>
      </w:r>
    </w:p>
    <w:p w:rsidR="00E279C2" w:rsidRDefault="00504627">
      <w:pPr>
        <w:pBdr>
          <w:top w:val="nil"/>
          <w:left w:val="nil"/>
          <w:bottom w:val="nil"/>
          <w:right w:val="nil"/>
          <w:between w:val="nil"/>
        </w:pBdr>
        <w:spacing w:line="480" w:lineRule="auto"/>
        <w:ind w:firstLine="720"/>
        <w:rPr>
          <w:rFonts w:ascii="Arial" w:eastAsia="Arial" w:hAnsi="Arial" w:cs="Arial"/>
          <w:color w:val="000000"/>
          <w:sz w:val="22"/>
          <w:szCs w:val="22"/>
        </w:rPr>
      </w:pPr>
      <w:r>
        <w:rPr>
          <w:rFonts w:ascii="Arial" w:eastAsia="Arial" w:hAnsi="Arial" w:cs="Arial"/>
          <w:color w:val="000000"/>
          <w:sz w:val="22"/>
          <w:szCs w:val="22"/>
        </w:rPr>
        <w:t>Assaying multiple responses on individual samples is critical for understanding host responses since many defense responses are interrelated. A prime example of this is the direct relationship between reactive oxygen species production and the induction of peroxidases. Peroxidases such as glutathione peroxidase reduce H</w:t>
      </w:r>
      <w:r>
        <w:rPr>
          <w:rFonts w:ascii="Arial" w:eastAsia="Arial" w:hAnsi="Arial" w:cs="Arial"/>
          <w:color w:val="000000"/>
          <w:sz w:val="22"/>
          <w:szCs w:val="22"/>
          <w:vertAlign w:val="subscript"/>
        </w:rPr>
        <w:t>2</w:t>
      </w:r>
      <w:r>
        <w:rPr>
          <w:rFonts w:ascii="Arial" w:eastAsia="Arial" w:hAnsi="Arial" w:cs="Arial"/>
          <w:color w:val="000000"/>
          <w:sz w:val="22"/>
          <w:szCs w:val="22"/>
        </w:rPr>
        <w:t>O</w:t>
      </w:r>
      <w:r>
        <w:rPr>
          <w:rFonts w:ascii="Arial" w:eastAsia="Arial" w:hAnsi="Arial" w:cs="Arial"/>
          <w:color w:val="000000"/>
          <w:sz w:val="22"/>
          <w:szCs w:val="22"/>
          <w:vertAlign w:val="subscript"/>
        </w:rPr>
        <w:t xml:space="preserve">2 </w:t>
      </w:r>
      <w:r>
        <w:rPr>
          <w:rFonts w:ascii="Arial" w:eastAsia="Arial" w:hAnsi="Arial" w:cs="Arial"/>
          <w:color w:val="000000"/>
          <w:sz w:val="22"/>
          <w:szCs w:val="22"/>
        </w:rPr>
        <w:t>and are induced in response to high levels of H</w:t>
      </w:r>
      <w:r>
        <w:rPr>
          <w:rFonts w:ascii="Arial" w:eastAsia="Arial" w:hAnsi="Arial" w:cs="Arial"/>
          <w:color w:val="000000"/>
          <w:sz w:val="22"/>
          <w:szCs w:val="22"/>
          <w:vertAlign w:val="subscript"/>
        </w:rPr>
        <w:t>2</w:t>
      </w:r>
      <w:r>
        <w:rPr>
          <w:rFonts w:ascii="Arial" w:eastAsia="Arial" w:hAnsi="Arial" w:cs="Arial"/>
          <w:color w:val="000000"/>
          <w:sz w:val="22"/>
          <w:szCs w:val="22"/>
        </w:rPr>
        <w:t>O</w:t>
      </w:r>
      <w:r>
        <w:rPr>
          <w:rFonts w:ascii="Arial" w:eastAsia="Arial" w:hAnsi="Arial" w:cs="Arial"/>
          <w:color w:val="000000"/>
          <w:sz w:val="22"/>
          <w:szCs w:val="22"/>
          <w:vertAlign w:val="subscript"/>
        </w:rPr>
        <w:t>2</w:t>
      </w:r>
      <w:r>
        <w:rPr>
          <w:rFonts w:ascii="Arial" w:eastAsia="Arial" w:hAnsi="Arial" w:cs="Arial"/>
          <w:color w:val="000000"/>
          <w:sz w:val="22"/>
          <w:szCs w:val="22"/>
        </w:rPr>
        <w:t xml:space="preserve"> and catalyze the oxidation of other molecules (Quan et al. 2008); measuring both peroxide and peroxidase in the same sample thus gives additional insight into this cellular process. </w:t>
      </w:r>
    </w:p>
    <w:p w:rsidR="00E279C2" w:rsidRDefault="00504627">
      <w:pPr>
        <w:pBdr>
          <w:top w:val="nil"/>
          <w:left w:val="nil"/>
          <w:bottom w:val="nil"/>
          <w:right w:val="nil"/>
          <w:between w:val="nil"/>
        </w:pBdr>
        <w:spacing w:line="480" w:lineRule="auto"/>
        <w:ind w:firstLine="720"/>
        <w:rPr>
          <w:rFonts w:ascii="Arial" w:eastAsia="Arial" w:hAnsi="Arial" w:cs="Arial"/>
          <w:sz w:val="22"/>
          <w:szCs w:val="22"/>
        </w:rPr>
      </w:pPr>
      <w:r>
        <w:rPr>
          <w:rFonts w:ascii="Arial" w:eastAsia="Arial" w:hAnsi="Arial" w:cs="Arial"/>
          <w:color w:val="000000"/>
          <w:sz w:val="22"/>
          <w:szCs w:val="22"/>
        </w:rPr>
        <w:t xml:space="preserve">Additionally, reducing the total amount of tissue required for an expanded array of assays enables researchers to perform both small molecule and enzymatic assays </w:t>
      </w:r>
      <w:r>
        <w:rPr>
          <w:rFonts w:ascii="Arial" w:eastAsia="Arial" w:hAnsi="Arial" w:cs="Arial"/>
          <w:color w:val="000000"/>
          <w:sz w:val="22"/>
          <w:szCs w:val="22"/>
        </w:rPr>
        <w:lastRenderedPageBreak/>
        <w:t>during a given investigation by allowing two separate extraction buffers to be used resulting in smaller amounts of tissues b</w:t>
      </w:r>
      <w:r>
        <w:rPr>
          <w:rFonts w:ascii="Arial" w:eastAsia="Arial" w:hAnsi="Arial" w:cs="Arial"/>
          <w:sz w:val="22"/>
          <w:szCs w:val="22"/>
        </w:rPr>
        <w:t>eing assayed in more ways. Thi</w:t>
      </w:r>
      <w:r>
        <w:rPr>
          <w:rFonts w:ascii="Arial" w:eastAsia="Arial" w:hAnsi="Arial" w:cs="Arial"/>
          <w:color w:val="000000"/>
          <w:sz w:val="22"/>
          <w:szCs w:val="22"/>
        </w:rPr>
        <w:t>s allows complex responses across large numbers of individuals to be analyzed within a single experiment. Early methods of protein quantification such as the Bradford method and the Lowry method were dependent on the use of a spectrophotometer and thus large sample volumes (Bradford 1976). Currently, assaying for the production of small molecules requires severe buffering conditions that both inhibit and degrade proteins present in suspended tissue samples due to the presence of compounds such as trichloroacetic acid, which causes protein precipitation (Rajalingam et al. 2009) prev</w:t>
      </w:r>
      <w:r>
        <w:rPr>
          <w:rFonts w:ascii="Arial" w:eastAsia="Arial" w:hAnsi="Arial" w:cs="Arial"/>
          <w:sz w:val="22"/>
          <w:szCs w:val="22"/>
        </w:rPr>
        <w:t>enting the use of a single buffer</w:t>
      </w:r>
      <w:r>
        <w:rPr>
          <w:rFonts w:ascii="Arial" w:eastAsia="Arial" w:hAnsi="Arial" w:cs="Arial"/>
          <w:color w:val="000000"/>
          <w:sz w:val="22"/>
          <w:szCs w:val="22"/>
        </w:rPr>
        <w:t xml:space="preserve">. Additionally, as with protein-based assays, the large sample masses required as </w:t>
      </w:r>
      <w:r>
        <w:rPr>
          <w:rFonts w:ascii="Arial" w:eastAsia="Arial" w:hAnsi="Arial" w:cs="Arial"/>
          <w:sz w:val="22"/>
          <w:szCs w:val="22"/>
        </w:rPr>
        <w:t xml:space="preserve">a result of large reaction volumes </w:t>
      </w:r>
      <w:r>
        <w:rPr>
          <w:rFonts w:ascii="Arial" w:eastAsia="Arial" w:hAnsi="Arial" w:cs="Arial"/>
          <w:color w:val="000000"/>
          <w:sz w:val="22"/>
          <w:szCs w:val="22"/>
        </w:rPr>
        <w:t>for current spectrophotometric tech</w:t>
      </w:r>
      <w:r>
        <w:rPr>
          <w:rFonts w:ascii="Arial" w:eastAsia="Arial" w:hAnsi="Arial" w:cs="Arial"/>
          <w:sz w:val="22"/>
          <w:szCs w:val="22"/>
        </w:rPr>
        <w:t xml:space="preserve">niques limits the total number of technical replications and assays that can be performed on a given sample. These problems ultimately result in researchers assaying single physiological changes induced by herbivory as a metric for general herbivory responses. Paired together, assaying both small molecule production and enzyme production would allow for a more holistic assessment of herbivory-associated plant immunity responses. </w:t>
      </w:r>
    </w:p>
    <w:p w:rsidR="00E279C2" w:rsidRDefault="00504627">
      <w:pPr>
        <w:spacing w:line="480" w:lineRule="auto"/>
        <w:ind w:firstLine="720"/>
        <w:rPr>
          <w:rFonts w:ascii="Arial" w:eastAsia="Arial" w:hAnsi="Arial" w:cs="Arial"/>
          <w:sz w:val="22"/>
          <w:szCs w:val="22"/>
        </w:rPr>
      </w:pPr>
      <w:r>
        <w:rPr>
          <w:rFonts w:ascii="Arial" w:eastAsia="Arial" w:hAnsi="Arial" w:cs="Arial"/>
          <w:sz w:val="22"/>
          <w:szCs w:val="22"/>
        </w:rPr>
        <w:t>Since the onset of the next generation sequencing revolution, many studies use genomic data as evidence of variation. Although this has proven to be a highly useful tool in many studies, it is important to assess functional variation as well. Studies have indicated that transcript abundance doesn’t necessarily match functio</w:t>
      </w:r>
      <w:r w:rsidR="00A90984">
        <w:rPr>
          <w:rFonts w:ascii="Arial" w:eastAsia="Arial" w:hAnsi="Arial" w:cs="Arial"/>
          <w:sz w:val="22"/>
          <w:szCs w:val="22"/>
        </w:rPr>
        <w:t>nal activity in a tissue sample</w:t>
      </w:r>
      <w:r>
        <w:rPr>
          <w:rFonts w:ascii="Arial" w:eastAsia="Arial" w:hAnsi="Arial" w:cs="Arial"/>
          <w:sz w:val="22"/>
          <w:szCs w:val="22"/>
        </w:rPr>
        <w:t xml:space="preserve"> (Greenbaum et al. 2003). This finding and others like it are important to consider when assessing functional diversity in physical populations of organisms.</w:t>
      </w:r>
    </w:p>
    <w:p w:rsidR="00E279C2" w:rsidRDefault="00504627">
      <w:pPr>
        <w:pBdr>
          <w:top w:val="nil"/>
          <w:left w:val="nil"/>
          <w:bottom w:val="nil"/>
          <w:right w:val="nil"/>
          <w:between w:val="nil"/>
        </w:pBdr>
        <w:spacing w:line="480" w:lineRule="auto"/>
        <w:ind w:firstLine="720"/>
        <w:rPr>
          <w:rFonts w:ascii="Arial" w:eastAsia="Arial" w:hAnsi="Arial" w:cs="Arial"/>
          <w:color w:val="000000"/>
          <w:sz w:val="22"/>
          <w:szCs w:val="22"/>
        </w:rPr>
      </w:pPr>
      <w:r>
        <w:rPr>
          <w:rFonts w:ascii="Arial" w:eastAsia="Arial" w:hAnsi="Arial" w:cs="Arial"/>
          <w:sz w:val="22"/>
          <w:szCs w:val="22"/>
        </w:rPr>
        <w:t>Here, we present a cost-effective method to assay multiple molecular responses in small sample masses (Appendix 1</w:t>
      </w:r>
      <w:r>
        <w:rPr>
          <w:rFonts w:ascii="Arial" w:eastAsia="Arial" w:hAnsi="Arial" w:cs="Arial"/>
          <w:color w:val="000000"/>
          <w:sz w:val="22"/>
          <w:szCs w:val="22"/>
        </w:rPr>
        <w:t xml:space="preserve">). The assays include total protein content, </w:t>
      </w:r>
      <w:r>
        <w:rPr>
          <w:rFonts w:ascii="Arial" w:eastAsia="Arial" w:hAnsi="Arial" w:cs="Arial"/>
          <w:color w:val="000000"/>
          <w:sz w:val="22"/>
          <w:szCs w:val="22"/>
        </w:rPr>
        <w:lastRenderedPageBreak/>
        <w:t>peroxidase, polyphenol oxidase, H</w:t>
      </w:r>
      <w:r>
        <w:rPr>
          <w:rFonts w:ascii="Arial" w:eastAsia="Arial" w:hAnsi="Arial" w:cs="Arial"/>
          <w:color w:val="000000"/>
          <w:sz w:val="22"/>
          <w:szCs w:val="22"/>
          <w:vertAlign w:val="subscript"/>
        </w:rPr>
        <w:t>2</w:t>
      </w:r>
      <w:r>
        <w:rPr>
          <w:rFonts w:ascii="Arial" w:eastAsia="Arial" w:hAnsi="Arial" w:cs="Arial"/>
          <w:color w:val="000000"/>
          <w:sz w:val="22"/>
          <w:szCs w:val="22"/>
        </w:rPr>
        <w:t>O</w:t>
      </w:r>
      <w:r>
        <w:rPr>
          <w:rFonts w:ascii="Arial" w:eastAsia="Arial" w:hAnsi="Arial" w:cs="Arial"/>
          <w:color w:val="000000"/>
          <w:sz w:val="22"/>
          <w:szCs w:val="22"/>
          <w:vertAlign w:val="subscript"/>
        </w:rPr>
        <w:t>2</w:t>
      </w:r>
      <w:r>
        <w:rPr>
          <w:rFonts w:ascii="Arial" w:eastAsia="Arial" w:hAnsi="Arial" w:cs="Arial"/>
          <w:color w:val="000000"/>
          <w:sz w:val="22"/>
          <w:szCs w:val="22"/>
        </w:rPr>
        <w:t xml:space="preserve">, and trypsin-like protease inhibitors. Many defense responses can be assayed </w:t>
      </w:r>
      <w:r w:rsidR="00D81EFA">
        <w:rPr>
          <w:rFonts w:ascii="Arial" w:eastAsia="Arial" w:hAnsi="Arial" w:cs="Arial"/>
          <w:color w:val="000000"/>
          <w:sz w:val="22"/>
          <w:szCs w:val="22"/>
        </w:rPr>
        <w:t>individually but</w:t>
      </w:r>
      <w:r>
        <w:rPr>
          <w:rFonts w:ascii="Arial" w:eastAsia="Arial" w:hAnsi="Arial" w:cs="Arial"/>
          <w:color w:val="000000"/>
          <w:sz w:val="22"/>
          <w:szCs w:val="22"/>
        </w:rPr>
        <w:t xml:space="preserve"> require diverse tissue extraction methods that are mutually exclusive. For our purposes, we selected induced responses that were both diverse and able to be assayed from a common sample extract. We tested our method on leaves taken from </w:t>
      </w:r>
      <w:r>
        <w:rPr>
          <w:rFonts w:ascii="Arial" w:eastAsia="Arial" w:hAnsi="Arial" w:cs="Arial"/>
          <w:i/>
          <w:color w:val="000000"/>
          <w:sz w:val="22"/>
          <w:szCs w:val="22"/>
        </w:rPr>
        <w:t>Solanum lycopersicum</w:t>
      </w:r>
      <w:r>
        <w:rPr>
          <w:rFonts w:ascii="Arial" w:eastAsia="Arial" w:hAnsi="Arial" w:cs="Arial"/>
          <w:color w:val="000000"/>
          <w:sz w:val="22"/>
          <w:szCs w:val="22"/>
        </w:rPr>
        <w:t xml:space="preserve"> pre- and post-herbivory to show that our assays can quantify differential plant responses. </w:t>
      </w:r>
      <w:r>
        <w:rPr>
          <w:rFonts w:ascii="Arial" w:eastAsia="Arial" w:hAnsi="Arial" w:cs="Arial"/>
          <w:i/>
          <w:color w:val="000000"/>
          <w:sz w:val="22"/>
          <w:szCs w:val="22"/>
        </w:rPr>
        <w:t>S. lycopersicum</w:t>
      </w:r>
      <w:r>
        <w:rPr>
          <w:rFonts w:ascii="Arial" w:eastAsia="Arial" w:hAnsi="Arial" w:cs="Arial"/>
          <w:color w:val="000000"/>
          <w:sz w:val="22"/>
          <w:szCs w:val="22"/>
        </w:rPr>
        <w:t xml:space="preserve"> is often used to test biochemical defense responses, which </w:t>
      </w:r>
      <w:r w:rsidR="00DE1E02">
        <w:rPr>
          <w:rFonts w:ascii="Arial" w:eastAsia="Arial" w:hAnsi="Arial" w:cs="Arial"/>
          <w:color w:val="000000"/>
          <w:sz w:val="22"/>
          <w:szCs w:val="22"/>
        </w:rPr>
        <w:t>we used to compare data we generated using our method and published protocols</w:t>
      </w:r>
      <w:r>
        <w:rPr>
          <w:rFonts w:ascii="Arial" w:eastAsia="Arial" w:hAnsi="Arial" w:cs="Arial"/>
          <w:color w:val="000000"/>
          <w:sz w:val="22"/>
          <w:szCs w:val="22"/>
        </w:rPr>
        <w:t xml:space="preserve">. After validating our assays using </w:t>
      </w:r>
      <w:r>
        <w:rPr>
          <w:rFonts w:ascii="Arial" w:eastAsia="Arial" w:hAnsi="Arial" w:cs="Arial"/>
          <w:i/>
          <w:color w:val="000000"/>
          <w:sz w:val="22"/>
          <w:szCs w:val="22"/>
        </w:rPr>
        <w:t xml:space="preserve">S. lycopersicum, </w:t>
      </w:r>
      <w:r>
        <w:rPr>
          <w:rFonts w:ascii="Arial" w:eastAsia="Arial" w:hAnsi="Arial" w:cs="Arial"/>
          <w:color w:val="000000"/>
          <w:sz w:val="22"/>
          <w:szCs w:val="22"/>
        </w:rPr>
        <w:t xml:space="preserve">we tested our protocol using </w:t>
      </w:r>
      <w:r>
        <w:rPr>
          <w:rFonts w:ascii="Arial" w:eastAsia="Arial" w:hAnsi="Arial" w:cs="Arial"/>
          <w:i/>
          <w:color w:val="000000"/>
          <w:sz w:val="22"/>
          <w:szCs w:val="22"/>
        </w:rPr>
        <w:t>Medicago polymorpha</w:t>
      </w:r>
      <w:r>
        <w:rPr>
          <w:rFonts w:ascii="Arial" w:eastAsia="Arial" w:hAnsi="Arial" w:cs="Arial"/>
          <w:color w:val="000000"/>
          <w:sz w:val="22"/>
          <w:szCs w:val="22"/>
        </w:rPr>
        <w:t xml:space="preserve">, a leguminous plant whose biochemical responses to herbivory have not been quantified. With trifoliate leaves that may weigh less than 50 mg, </w:t>
      </w:r>
      <w:r>
        <w:rPr>
          <w:rFonts w:ascii="Arial" w:eastAsia="Arial" w:hAnsi="Arial" w:cs="Arial"/>
          <w:i/>
          <w:color w:val="000000"/>
          <w:sz w:val="22"/>
          <w:szCs w:val="22"/>
        </w:rPr>
        <w:t>M. polymorpha</w:t>
      </w:r>
      <w:r>
        <w:rPr>
          <w:rFonts w:ascii="Arial" w:eastAsia="Arial" w:hAnsi="Arial" w:cs="Arial"/>
          <w:color w:val="000000"/>
          <w:sz w:val="22"/>
          <w:szCs w:val="22"/>
        </w:rPr>
        <w:t xml:space="preserve"> is representative of a “non-model” plant. This protocol paves the way toward more comprehensively assaying plant biochemical responses to herbivory in non-model plants and allows for greater sample capacity, which would allow for improved statistics, time course experiments, and more complex experimental designs.</w:t>
      </w:r>
    </w:p>
    <w:p w:rsidR="00E279C2" w:rsidRDefault="00504627">
      <w:pPr>
        <w:pBdr>
          <w:top w:val="nil"/>
          <w:left w:val="nil"/>
          <w:bottom w:val="nil"/>
          <w:right w:val="nil"/>
          <w:between w:val="nil"/>
        </w:pBdr>
        <w:spacing w:line="480" w:lineRule="auto"/>
        <w:jc w:val="center"/>
        <w:rPr>
          <w:rFonts w:ascii="Arial" w:eastAsia="Arial" w:hAnsi="Arial" w:cs="Arial"/>
          <w:b/>
          <w:color w:val="000000"/>
          <w:sz w:val="22"/>
          <w:szCs w:val="22"/>
        </w:rPr>
      </w:pPr>
      <w:r>
        <w:rPr>
          <w:rFonts w:ascii="Arial" w:eastAsia="Arial" w:hAnsi="Arial" w:cs="Arial"/>
          <w:b/>
          <w:color w:val="000000"/>
          <w:sz w:val="22"/>
          <w:szCs w:val="22"/>
        </w:rPr>
        <w:t xml:space="preserve">METHODS AND RESULTS </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b/>
          <w:i/>
          <w:color w:val="000000"/>
          <w:sz w:val="22"/>
          <w:szCs w:val="22"/>
        </w:rPr>
        <w:t>Tissue preparation—</w:t>
      </w:r>
      <w:r>
        <w:rPr>
          <w:rFonts w:ascii="Arial" w:eastAsia="Arial" w:hAnsi="Arial" w:cs="Arial"/>
          <w:color w:val="000000"/>
          <w:sz w:val="22"/>
          <w:szCs w:val="22"/>
        </w:rPr>
        <w:t xml:space="preserve"> To compare our protocol to current spectrophotometer protocols, we used tomato (</w:t>
      </w:r>
      <w:r>
        <w:rPr>
          <w:rFonts w:ascii="Arial" w:eastAsia="Arial" w:hAnsi="Arial" w:cs="Arial"/>
          <w:i/>
          <w:color w:val="000000"/>
          <w:sz w:val="22"/>
          <w:szCs w:val="22"/>
        </w:rPr>
        <w:t xml:space="preserve">Solanum lycopersicum, </w:t>
      </w:r>
      <w:r>
        <w:rPr>
          <w:rFonts w:ascii="Arial" w:eastAsia="Arial" w:hAnsi="Arial" w:cs="Arial"/>
          <w:color w:val="000000"/>
          <w:sz w:val="22"/>
          <w:szCs w:val="22"/>
        </w:rPr>
        <w:t>ecotype M82</w:t>
      </w:r>
      <w:r>
        <w:rPr>
          <w:rFonts w:ascii="Arial" w:eastAsia="Arial" w:hAnsi="Arial" w:cs="Arial"/>
          <w:i/>
          <w:color w:val="000000"/>
          <w:sz w:val="22"/>
          <w:szCs w:val="22"/>
        </w:rPr>
        <w:t>)</w:t>
      </w:r>
      <w:r>
        <w:rPr>
          <w:rFonts w:ascii="Arial" w:eastAsia="Arial" w:hAnsi="Arial" w:cs="Arial"/>
          <w:color w:val="000000"/>
          <w:sz w:val="22"/>
          <w:szCs w:val="22"/>
        </w:rPr>
        <w:t xml:space="preserve">, a model plant often used for testing defense responses, and the non-model plant </w:t>
      </w:r>
      <w:r>
        <w:rPr>
          <w:rFonts w:ascii="Arial" w:eastAsia="Arial" w:hAnsi="Arial" w:cs="Arial"/>
          <w:i/>
          <w:color w:val="000000"/>
          <w:sz w:val="22"/>
          <w:szCs w:val="22"/>
        </w:rPr>
        <w:t>Medicago polymorpha</w:t>
      </w:r>
      <w:r>
        <w:rPr>
          <w:rFonts w:ascii="Arial" w:eastAsia="Arial" w:hAnsi="Arial" w:cs="Arial"/>
          <w:color w:val="000000"/>
          <w:sz w:val="22"/>
          <w:szCs w:val="22"/>
        </w:rPr>
        <w:t>. Tomato</w:t>
      </w:r>
      <w:r>
        <w:rPr>
          <w:rFonts w:ascii="Arial" w:eastAsia="Arial" w:hAnsi="Arial" w:cs="Arial"/>
          <w:i/>
          <w:color w:val="000000"/>
          <w:sz w:val="22"/>
          <w:szCs w:val="22"/>
        </w:rPr>
        <w:t xml:space="preserve"> </w:t>
      </w:r>
      <w:r>
        <w:rPr>
          <w:rFonts w:ascii="Arial" w:eastAsia="Arial" w:hAnsi="Arial" w:cs="Arial"/>
          <w:color w:val="000000"/>
          <w:sz w:val="22"/>
          <w:szCs w:val="22"/>
        </w:rPr>
        <w:t>seeds were scarified with 600 grit sandpaper, imbibed in dH</w:t>
      </w:r>
      <w:r>
        <w:rPr>
          <w:rFonts w:ascii="Arial" w:eastAsia="Arial" w:hAnsi="Arial" w:cs="Arial"/>
          <w:color w:val="000000"/>
          <w:sz w:val="22"/>
          <w:szCs w:val="22"/>
          <w:vertAlign w:val="subscript"/>
        </w:rPr>
        <w:t>2</w:t>
      </w:r>
      <w:r>
        <w:rPr>
          <w:rFonts w:ascii="Arial" w:eastAsia="Arial" w:hAnsi="Arial" w:cs="Arial"/>
          <w:color w:val="000000"/>
          <w:sz w:val="22"/>
          <w:szCs w:val="22"/>
        </w:rPr>
        <w:t>O for three days at 4°C in the dark to stratify, then placed in a dark cabinet overnight. Germinated seedlings were grown for three weeks in a grow room before inducing defensive responses.  Burr medic (</w:t>
      </w:r>
      <w:r>
        <w:rPr>
          <w:rFonts w:ascii="Arial" w:eastAsia="Arial" w:hAnsi="Arial" w:cs="Arial"/>
          <w:i/>
          <w:color w:val="000000"/>
          <w:sz w:val="22"/>
          <w:szCs w:val="22"/>
        </w:rPr>
        <w:t>Medicago polymorpha</w:t>
      </w:r>
      <w:r>
        <w:rPr>
          <w:rFonts w:ascii="Arial" w:eastAsia="Arial" w:hAnsi="Arial" w:cs="Arial"/>
          <w:color w:val="000000"/>
          <w:sz w:val="22"/>
          <w:szCs w:val="22"/>
        </w:rPr>
        <w:t xml:space="preserve">) seeds (Appendix 2) were scarified as described above and planted into 158-mL pots filled with Sungro Sunshine Mix #1 (SunGro® Horticulture, Michigan, USA). Plants were inoculated a week after planting with a rhizobium strain </w:t>
      </w:r>
      <w:r>
        <w:rPr>
          <w:rFonts w:ascii="Arial" w:eastAsia="Arial" w:hAnsi="Arial" w:cs="Arial"/>
          <w:color w:val="000000"/>
          <w:sz w:val="22"/>
          <w:szCs w:val="22"/>
        </w:rPr>
        <w:lastRenderedPageBreak/>
        <w:t>mixture of 10</w:t>
      </w:r>
      <w:r>
        <w:rPr>
          <w:rFonts w:ascii="Arial" w:eastAsia="Arial" w:hAnsi="Arial" w:cs="Arial"/>
          <w:color w:val="000000"/>
          <w:sz w:val="22"/>
          <w:szCs w:val="22"/>
          <w:vertAlign w:val="superscript"/>
        </w:rPr>
        <w:t>7</w:t>
      </w:r>
      <w:r>
        <w:rPr>
          <w:rFonts w:ascii="Arial" w:eastAsia="Arial" w:hAnsi="Arial" w:cs="Arial"/>
          <w:color w:val="000000"/>
          <w:sz w:val="22"/>
          <w:szCs w:val="22"/>
        </w:rPr>
        <w:t xml:space="preserve"> cells of equal parts </w:t>
      </w:r>
      <w:r>
        <w:rPr>
          <w:rFonts w:ascii="Arial" w:eastAsia="Arial" w:hAnsi="Arial" w:cs="Arial"/>
          <w:i/>
          <w:color w:val="000000"/>
          <w:sz w:val="22"/>
          <w:szCs w:val="22"/>
        </w:rPr>
        <w:t>Ensifer medicae</w:t>
      </w:r>
      <w:r>
        <w:rPr>
          <w:rFonts w:ascii="Arial" w:eastAsia="Arial" w:hAnsi="Arial" w:cs="Arial"/>
          <w:color w:val="000000"/>
          <w:sz w:val="22"/>
          <w:szCs w:val="22"/>
        </w:rPr>
        <w:t xml:space="preserve"> strain WSM419 and </w:t>
      </w:r>
      <w:r>
        <w:rPr>
          <w:rFonts w:ascii="Arial" w:eastAsia="Arial" w:hAnsi="Arial" w:cs="Arial"/>
          <w:i/>
          <w:color w:val="000000"/>
          <w:sz w:val="22"/>
          <w:szCs w:val="22"/>
        </w:rPr>
        <w:t>E</w:t>
      </w:r>
      <w:r>
        <w:rPr>
          <w:rFonts w:ascii="Arial" w:eastAsia="Arial" w:hAnsi="Arial" w:cs="Arial"/>
          <w:color w:val="000000"/>
          <w:sz w:val="22"/>
          <w:szCs w:val="22"/>
        </w:rPr>
        <w:t xml:space="preserve">. </w:t>
      </w:r>
      <w:r>
        <w:rPr>
          <w:rFonts w:ascii="Arial" w:eastAsia="Arial" w:hAnsi="Arial" w:cs="Arial"/>
          <w:i/>
          <w:color w:val="000000"/>
          <w:sz w:val="22"/>
          <w:szCs w:val="22"/>
        </w:rPr>
        <w:t>meliloti</w:t>
      </w:r>
      <w:r>
        <w:rPr>
          <w:rFonts w:ascii="Arial" w:eastAsia="Arial" w:hAnsi="Arial" w:cs="Arial"/>
          <w:color w:val="000000"/>
          <w:sz w:val="22"/>
          <w:szCs w:val="22"/>
        </w:rPr>
        <w:t xml:space="preserve"> strain 1021 to prevent nitrogen starvation and </w:t>
      </w:r>
      <w:r>
        <w:rPr>
          <w:rFonts w:ascii="Arial" w:eastAsia="Arial" w:hAnsi="Arial" w:cs="Arial"/>
          <w:sz w:val="22"/>
          <w:szCs w:val="22"/>
        </w:rPr>
        <w:t>to mimic natural conditions</w:t>
      </w:r>
      <w:r>
        <w:rPr>
          <w:rFonts w:ascii="Arial" w:eastAsia="Arial" w:hAnsi="Arial" w:cs="Arial"/>
          <w:color w:val="000000"/>
          <w:sz w:val="22"/>
          <w:szCs w:val="22"/>
        </w:rPr>
        <w:t xml:space="preserve">. </w:t>
      </w:r>
    </w:p>
    <w:p w:rsidR="00E279C2" w:rsidRDefault="00504627">
      <w:pPr>
        <w:pBdr>
          <w:top w:val="nil"/>
          <w:left w:val="nil"/>
          <w:bottom w:val="nil"/>
          <w:right w:val="nil"/>
          <w:between w:val="nil"/>
        </w:pBdr>
        <w:spacing w:line="480" w:lineRule="auto"/>
        <w:ind w:firstLine="720"/>
        <w:rPr>
          <w:rFonts w:ascii="Arial" w:eastAsia="Arial" w:hAnsi="Arial" w:cs="Arial"/>
          <w:color w:val="000000"/>
          <w:sz w:val="22"/>
          <w:szCs w:val="22"/>
        </w:rPr>
      </w:pPr>
      <w:r>
        <w:rPr>
          <w:rFonts w:ascii="Arial" w:eastAsia="Arial" w:hAnsi="Arial" w:cs="Arial"/>
          <w:color w:val="000000"/>
          <w:sz w:val="22"/>
          <w:szCs w:val="22"/>
        </w:rPr>
        <w:t xml:space="preserve">To ensure that our protocol could adequately detect plant defense responses both pre- and post-herbivory, we </w:t>
      </w:r>
      <w:r>
        <w:rPr>
          <w:rFonts w:ascii="Arial" w:eastAsia="Arial" w:hAnsi="Arial" w:cs="Arial"/>
          <w:sz w:val="22"/>
          <w:szCs w:val="22"/>
        </w:rPr>
        <w:t>allowed soybean loopers (</w:t>
      </w:r>
      <w:r>
        <w:rPr>
          <w:rFonts w:ascii="Arial" w:eastAsia="Arial" w:hAnsi="Arial" w:cs="Arial"/>
          <w:i/>
          <w:sz w:val="22"/>
          <w:szCs w:val="22"/>
        </w:rPr>
        <w:t>Chrysodeixis includens</w:t>
      </w:r>
      <w:r>
        <w:rPr>
          <w:rFonts w:ascii="Arial" w:eastAsia="Arial" w:hAnsi="Arial" w:cs="Arial"/>
          <w:sz w:val="22"/>
          <w:szCs w:val="22"/>
        </w:rPr>
        <w:t xml:space="preserve">) to feed on leaves and also </w:t>
      </w:r>
      <w:r>
        <w:rPr>
          <w:rFonts w:ascii="Arial" w:eastAsia="Arial" w:hAnsi="Arial" w:cs="Arial"/>
          <w:color w:val="000000"/>
          <w:sz w:val="22"/>
          <w:szCs w:val="22"/>
        </w:rPr>
        <w:t>manually induced plant responses using caterpillar regurgitant</w:t>
      </w:r>
      <w:r>
        <w:rPr>
          <w:rFonts w:ascii="Arial" w:eastAsia="Arial" w:hAnsi="Arial" w:cs="Arial"/>
          <w:sz w:val="22"/>
          <w:szCs w:val="22"/>
        </w:rPr>
        <w:t xml:space="preserve"> to account for variable insect feeding patterns</w:t>
      </w:r>
      <w:r>
        <w:rPr>
          <w:rFonts w:ascii="Arial" w:eastAsia="Arial" w:hAnsi="Arial" w:cs="Arial"/>
          <w:color w:val="000000"/>
          <w:sz w:val="22"/>
          <w:szCs w:val="22"/>
        </w:rPr>
        <w:t>. Regurgitant was generated by compressing stomachs with forceps post feeding on corresponding host plants. Leaves were manually wounded with scissors dipped in regurgitant. Leaf samples were taken from each plant at 0 and 24 hours and flash frozen in liquid nitrogen for storage at -80°C until processing.</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b/>
          <w:color w:val="000000"/>
          <w:sz w:val="22"/>
          <w:szCs w:val="22"/>
        </w:rPr>
        <w:t xml:space="preserve">Assays— </w:t>
      </w:r>
      <w:r>
        <w:rPr>
          <w:rFonts w:ascii="Arial" w:eastAsia="Arial" w:hAnsi="Arial" w:cs="Arial"/>
          <w:color w:val="000000"/>
          <w:sz w:val="22"/>
          <w:szCs w:val="22"/>
        </w:rPr>
        <w:t>One challenge of attempting to assay multiple enzymes and small molecules from a single sample is finding an appropriate extraction buffer that will preserve the integrity of the metabolites while not creating conditions inhibitory for other assays.</w:t>
      </w:r>
      <w:r>
        <w:rPr>
          <w:rFonts w:ascii="Arial" w:eastAsia="Arial" w:hAnsi="Arial" w:cs="Arial"/>
          <w:i/>
          <w:color w:val="000000"/>
          <w:sz w:val="22"/>
          <w:szCs w:val="22"/>
        </w:rPr>
        <w:t xml:space="preserve"> </w:t>
      </w:r>
      <w:r>
        <w:rPr>
          <w:rFonts w:ascii="Arial" w:eastAsia="Arial" w:hAnsi="Arial" w:cs="Arial"/>
          <w:color w:val="000000"/>
          <w:sz w:val="22"/>
          <w:szCs w:val="22"/>
        </w:rPr>
        <w:t xml:space="preserve">We were able to utilize two extraction buffers: a trichloroacetic acid (TCA) buffer and a protein extraction (PE) buffer. The TCA buffer provides the appropriate conditions for assaying the production of hydrogen peroxide (Junglee et al. 2014). The PE buffer was designed to provide the best crude extraction without the presence of interfering compounds. </w:t>
      </w:r>
      <w:r>
        <w:rPr>
          <w:rFonts w:ascii="Arial" w:eastAsia="Arial" w:hAnsi="Arial" w:cs="Arial"/>
          <w:color w:val="222222"/>
          <w:sz w:val="22"/>
          <w:szCs w:val="22"/>
          <w:highlight w:val="white"/>
        </w:rPr>
        <w:t xml:space="preserve">Phenylmethane sulfonyl fluoride (PMSF), the serine protease inhibitor commonly present in protein extraction </w:t>
      </w:r>
      <w:r>
        <w:rPr>
          <w:rFonts w:ascii="Arial" w:eastAsia="Arial" w:hAnsi="Arial" w:cs="Arial"/>
          <w:color w:val="000000"/>
          <w:sz w:val="22"/>
          <w:szCs w:val="22"/>
          <w:highlight w:val="white"/>
        </w:rPr>
        <w:t>buffers (Grimplet et al. 2009), w</w:t>
      </w:r>
      <w:r>
        <w:rPr>
          <w:rFonts w:ascii="Arial" w:eastAsia="Arial" w:hAnsi="Arial" w:cs="Arial"/>
          <w:color w:val="222222"/>
          <w:sz w:val="22"/>
          <w:szCs w:val="22"/>
          <w:highlight w:val="white"/>
        </w:rPr>
        <w:t xml:space="preserve">as removed due to the need to assay the production of trypsin-like protease inhibitors. Β-mercaptoethanol, also a common protein buffer ingredient (Grimplet et al. 2009) </w:t>
      </w:r>
      <w:r>
        <w:rPr>
          <w:rFonts w:ascii="Arial" w:eastAsia="Arial" w:hAnsi="Arial" w:cs="Arial"/>
          <w:color w:val="000000"/>
          <w:sz w:val="22"/>
          <w:szCs w:val="22"/>
          <w:highlight w:val="white"/>
        </w:rPr>
        <w:t>used as a reducing agent to ensure analysis of strictly monomeric proteins</w:t>
      </w:r>
      <w:r>
        <w:rPr>
          <w:rFonts w:ascii="Arial" w:eastAsia="Arial" w:hAnsi="Arial" w:cs="Arial"/>
          <w:color w:val="222222"/>
          <w:sz w:val="22"/>
          <w:szCs w:val="22"/>
          <w:highlight w:val="white"/>
        </w:rPr>
        <w:t xml:space="preserve">, was removed due to interference with the </w:t>
      </w:r>
      <w:r>
        <w:rPr>
          <w:rFonts w:ascii="Arial" w:eastAsia="Arial" w:hAnsi="Arial" w:cs="Arial"/>
          <w:color w:val="000000"/>
          <w:sz w:val="22"/>
          <w:szCs w:val="22"/>
        </w:rPr>
        <w:t xml:space="preserve">Thermo </w:t>
      </w:r>
      <w:r w:rsidR="00A90984">
        <w:rPr>
          <w:rFonts w:ascii="Arial" w:eastAsia="Arial" w:hAnsi="Arial" w:cs="Arial"/>
          <w:color w:val="000000"/>
          <w:sz w:val="22"/>
          <w:szCs w:val="22"/>
        </w:rPr>
        <w:t>Scientific</w:t>
      </w:r>
      <w:r w:rsidR="00A90984">
        <w:rPr>
          <w:rFonts w:ascii="Arial" w:eastAsia="Arial" w:hAnsi="Arial" w:cs="Arial"/>
          <w:color w:val="000000"/>
          <w:sz w:val="22"/>
          <w:szCs w:val="22"/>
          <w:vertAlign w:val="superscript"/>
        </w:rPr>
        <w:t xml:space="preserve"> </w:t>
      </w:r>
      <w:r w:rsidR="00A90984" w:rsidRPr="00A90984">
        <w:rPr>
          <w:rFonts w:ascii="Arial" w:eastAsia="Arial" w:hAnsi="Arial" w:cs="Arial"/>
          <w:color w:val="000000"/>
          <w:sz w:val="22"/>
          <w:szCs w:val="22"/>
        </w:rPr>
        <w:t>Pierce</w:t>
      </w:r>
      <w:r w:rsidR="00A90984">
        <w:rPr>
          <w:rFonts w:ascii="Arial" w:eastAsia="Arial" w:hAnsi="Arial" w:cs="Arial"/>
          <w:color w:val="000000"/>
          <w:sz w:val="22"/>
          <w:szCs w:val="22"/>
          <w:vertAlign w:val="superscript"/>
        </w:rPr>
        <w:t>TM</w:t>
      </w:r>
      <w:r>
        <w:rPr>
          <w:rFonts w:ascii="Arial" w:eastAsia="Arial" w:hAnsi="Arial" w:cs="Arial"/>
          <w:color w:val="000000"/>
          <w:sz w:val="22"/>
          <w:szCs w:val="22"/>
        </w:rPr>
        <w:t xml:space="preserve"> BCA Protein Assay Kit</w:t>
      </w:r>
      <w:r>
        <w:rPr>
          <w:rFonts w:ascii="Arial" w:eastAsia="Arial" w:hAnsi="Arial" w:cs="Arial"/>
          <w:color w:val="222222"/>
          <w:sz w:val="22"/>
          <w:szCs w:val="22"/>
          <w:highlight w:val="white"/>
        </w:rPr>
        <w:t xml:space="preserve">. Previous studies, specifically ones from which we modified original assays (Cavalcanti et al. 2004; </w:t>
      </w:r>
      <w:r>
        <w:rPr>
          <w:rFonts w:ascii="Arial" w:eastAsia="Arial" w:hAnsi="Arial" w:cs="Arial"/>
          <w:color w:val="222222"/>
          <w:sz w:val="22"/>
          <w:szCs w:val="22"/>
          <w:highlight w:val="white"/>
        </w:rPr>
        <w:lastRenderedPageBreak/>
        <w:t>Goud and Kachole 2012)</w:t>
      </w:r>
      <w:r>
        <w:rPr>
          <w:rFonts w:ascii="Arial" w:eastAsia="Arial" w:hAnsi="Arial" w:cs="Arial"/>
          <w:color w:val="000000"/>
          <w:sz w:val="22"/>
          <w:szCs w:val="22"/>
        </w:rPr>
        <w:t xml:space="preserve"> used extraction buffers lacking protease inhibitors and/or reducing agents with no significant change to final results.</w:t>
      </w:r>
      <w:r>
        <w:rPr>
          <w:rFonts w:ascii="Arial" w:eastAsia="Arial" w:hAnsi="Arial" w:cs="Arial"/>
          <w:color w:val="222222"/>
          <w:sz w:val="22"/>
          <w:szCs w:val="22"/>
          <w:highlight w:val="white"/>
        </w:rPr>
        <w:t xml:space="preserve"> Our PE buffer thus results in a crude extract that provides predictable results when published assays were replicated for validation purposes</w:t>
      </w:r>
      <w:r>
        <w:rPr>
          <w:rFonts w:ascii="Arial" w:eastAsia="Arial" w:hAnsi="Arial" w:cs="Arial"/>
          <w:color w:val="000000"/>
          <w:sz w:val="22"/>
          <w:szCs w:val="22"/>
        </w:rPr>
        <w:t xml:space="preserve"> (Table </w:t>
      </w:r>
      <w:r>
        <w:rPr>
          <w:rFonts w:ascii="Arial" w:eastAsia="Arial" w:hAnsi="Arial" w:cs="Arial"/>
          <w:sz w:val="22"/>
          <w:szCs w:val="22"/>
        </w:rPr>
        <w:t>2</w:t>
      </w:r>
      <w:r>
        <w:rPr>
          <w:rFonts w:ascii="Arial" w:eastAsia="Arial" w:hAnsi="Arial" w:cs="Arial"/>
          <w:color w:val="000000"/>
          <w:sz w:val="22"/>
          <w:szCs w:val="22"/>
        </w:rPr>
        <w:t xml:space="preserve">). </w:t>
      </w:r>
    </w:p>
    <w:p w:rsidR="00E279C2" w:rsidRDefault="00E279C2">
      <w:pPr>
        <w:pBdr>
          <w:top w:val="nil"/>
          <w:left w:val="nil"/>
          <w:bottom w:val="nil"/>
          <w:right w:val="nil"/>
          <w:between w:val="nil"/>
        </w:pBdr>
        <w:spacing w:line="480" w:lineRule="auto"/>
        <w:rPr>
          <w:rFonts w:ascii="Arial" w:eastAsia="Arial" w:hAnsi="Arial" w:cs="Arial"/>
          <w:sz w:val="22"/>
          <w:szCs w:val="22"/>
        </w:rPr>
      </w:pPr>
    </w:p>
    <w:p w:rsidR="00E279C2" w:rsidRDefault="00504627" w:rsidP="00691CFE">
      <w:pPr>
        <w:pBdr>
          <w:top w:val="nil"/>
          <w:left w:val="nil"/>
          <w:bottom w:val="nil"/>
          <w:right w:val="nil"/>
          <w:between w:val="nil"/>
        </w:pBdr>
        <w:spacing w:line="480" w:lineRule="auto"/>
        <w:ind w:firstLine="720"/>
        <w:rPr>
          <w:rFonts w:ascii="Arial" w:eastAsia="Arial" w:hAnsi="Arial" w:cs="Arial"/>
          <w:b/>
          <w:color w:val="000000"/>
          <w:sz w:val="22"/>
          <w:szCs w:val="22"/>
        </w:rPr>
      </w:pPr>
      <w:r>
        <w:rPr>
          <w:rFonts w:ascii="Arial" w:eastAsia="Arial" w:hAnsi="Arial" w:cs="Arial"/>
          <w:color w:val="000000"/>
          <w:sz w:val="22"/>
          <w:szCs w:val="22"/>
        </w:rPr>
        <w:t>Frozen leaf tissue from each plant was placed into two microcentrifuge tubes and weighed. The tubes were homogenized for 15 minutes at 300 rpm in a tissuelyser (QIAGEN TissueLyser II, QIAG</w:t>
      </w:r>
      <w:r>
        <w:rPr>
          <w:rFonts w:ascii="Arial" w:eastAsia="Arial" w:hAnsi="Arial" w:cs="Arial"/>
          <w:sz w:val="22"/>
          <w:szCs w:val="22"/>
        </w:rPr>
        <w:t>EN, Maryland, USA)</w:t>
      </w:r>
      <w:r>
        <w:rPr>
          <w:rFonts w:ascii="Arial" w:eastAsia="Arial" w:hAnsi="Arial" w:cs="Arial"/>
          <w:b/>
          <w:sz w:val="22"/>
          <w:szCs w:val="22"/>
        </w:rPr>
        <w:t>.</w:t>
      </w:r>
      <w:r>
        <w:rPr>
          <w:rFonts w:ascii="Arial" w:eastAsia="Arial" w:hAnsi="Arial" w:cs="Arial"/>
          <w:sz w:val="22"/>
          <w:szCs w:val="22"/>
        </w:rPr>
        <w:t xml:space="preserve"> The tube holders were made of </w:t>
      </w:r>
      <w:r w:rsidR="00D81EFA">
        <w:rPr>
          <w:rFonts w:ascii="Arial" w:eastAsia="Arial" w:hAnsi="Arial" w:cs="Arial"/>
          <w:sz w:val="22"/>
          <w:szCs w:val="22"/>
        </w:rPr>
        <w:t>Teflon</w:t>
      </w:r>
      <w:r>
        <w:rPr>
          <w:rFonts w:ascii="Arial" w:eastAsia="Arial" w:hAnsi="Arial" w:cs="Arial"/>
          <w:sz w:val="22"/>
          <w:szCs w:val="22"/>
        </w:rPr>
        <w:t xml:space="preserve"> and stored at -80°C. All samples and holders were also dipped in liquid N</w:t>
      </w:r>
      <w:r>
        <w:rPr>
          <w:rFonts w:ascii="Arial" w:eastAsia="Arial" w:hAnsi="Arial" w:cs="Arial"/>
          <w:sz w:val="22"/>
          <w:szCs w:val="22"/>
          <w:vertAlign w:val="subscript"/>
        </w:rPr>
        <w:t>2</w:t>
      </w:r>
      <w:r>
        <w:rPr>
          <w:rFonts w:ascii="Arial" w:eastAsia="Arial" w:hAnsi="Arial" w:cs="Arial"/>
          <w:sz w:val="22"/>
          <w:szCs w:val="22"/>
        </w:rPr>
        <w:t xml:space="preserve"> before </w:t>
      </w:r>
      <w:r w:rsidR="00D81EFA">
        <w:rPr>
          <w:rFonts w:ascii="Arial" w:eastAsia="Arial" w:hAnsi="Arial" w:cs="Arial"/>
          <w:sz w:val="22"/>
          <w:szCs w:val="22"/>
        </w:rPr>
        <w:t xml:space="preserve">homogenizing. </w:t>
      </w:r>
      <w:r w:rsidR="00D81EFA">
        <w:rPr>
          <w:rFonts w:ascii="Arial" w:eastAsia="Arial" w:hAnsi="Arial" w:cs="Arial"/>
          <w:color w:val="000000"/>
          <w:sz w:val="22"/>
          <w:szCs w:val="22"/>
        </w:rPr>
        <w:t>One</w:t>
      </w:r>
      <w:r>
        <w:rPr>
          <w:rFonts w:ascii="Arial" w:eastAsia="Arial" w:hAnsi="Arial" w:cs="Arial"/>
          <w:color w:val="000000"/>
          <w:sz w:val="22"/>
          <w:szCs w:val="22"/>
        </w:rPr>
        <w:t xml:space="preserve"> tube received 1mL of the 0.1% TCA buffer, while the other received 1 ml of the PE buffer (1mM EDTA, 88mM Trizma Base, 10% glycerol). Tubes were centrifuged at 4°C for 10 minutes at 15000 rpm in an accuSpin Micro 17 centrifuge (Thermo Fisher Scientific, Waltham, USA) and the supernatant pipetted into clean tubes. The PE extract samples were then diluted to 1/10X. All absorbance values were run on a SpectraMax M2 combination spectrophotometer and microplate reader and </w:t>
      </w:r>
      <w:r>
        <w:rPr>
          <w:rFonts w:ascii="Arial" w:eastAsia="Arial" w:hAnsi="Arial" w:cs="Arial"/>
          <w:sz w:val="22"/>
          <w:szCs w:val="22"/>
        </w:rPr>
        <w:t>standardized</w:t>
      </w:r>
      <w:r>
        <w:rPr>
          <w:rFonts w:ascii="Arial" w:eastAsia="Arial" w:hAnsi="Arial" w:cs="Arial"/>
          <w:color w:val="000000"/>
          <w:sz w:val="22"/>
          <w:szCs w:val="22"/>
        </w:rPr>
        <w:t xml:space="preserve"> for fresh weight (FW). </w:t>
      </w:r>
      <w:r>
        <w:rPr>
          <w:rFonts w:ascii="Arial" w:eastAsia="Arial" w:hAnsi="Arial" w:cs="Arial"/>
          <w:sz w:val="22"/>
          <w:szCs w:val="22"/>
        </w:rPr>
        <w:t>A detailed description of our protocols can be found in Appendix 1.</w:t>
      </w:r>
    </w:p>
    <w:p w:rsidR="00E279C2" w:rsidRDefault="00E279C2">
      <w:pPr>
        <w:pBdr>
          <w:top w:val="nil"/>
          <w:left w:val="nil"/>
          <w:bottom w:val="nil"/>
          <w:right w:val="nil"/>
          <w:between w:val="nil"/>
        </w:pBdr>
        <w:spacing w:line="480" w:lineRule="auto"/>
        <w:ind w:firstLine="720"/>
        <w:rPr>
          <w:rFonts w:ascii="Arial" w:eastAsia="Arial" w:hAnsi="Arial" w:cs="Arial"/>
          <w:sz w:val="22"/>
          <w:szCs w:val="22"/>
        </w:rPr>
      </w:pPr>
    </w:p>
    <w:p w:rsidR="00E279C2" w:rsidRDefault="00504627">
      <w:pPr>
        <w:pBdr>
          <w:top w:val="nil"/>
          <w:left w:val="nil"/>
          <w:bottom w:val="nil"/>
          <w:right w:val="nil"/>
          <w:between w:val="nil"/>
        </w:pBdr>
        <w:spacing w:line="480" w:lineRule="auto"/>
        <w:rPr>
          <w:rFonts w:ascii="Arial" w:eastAsia="Arial" w:hAnsi="Arial" w:cs="Arial"/>
          <w:i/>
          <w:sz w:val="22"/>
          <w:szCs w:val="22"/>
        </w:rPr>
      </w:pPr>
      <w:r>
        <w:rPr>
          <w:rFonts w:ascii="Arial" w:eastAsia="Arial" w:hAnsi="Arial" w:cs="Arial"/>
          <w:i/>
          <w:sz w:val="22"/>
          <w:szCs w:val="22"/>
        </w:rPr>
        <w:t>Protein Quantification</w:t>
      </w:r>
    </w:p>
    <w:p w:rsidR="00E279C2" w:rsidRDefault="00504627">
      <w:pPr>
        <w:pBdr>
          <w:top w:val="nil"/>
          <w:left w:val="nil"/>
          <w:bottom w:val="nil"/>
          <w:right w:val="nil"/>
          <w:between w:val="nil"/>
        </w:pBdr>
        <w:spacing w:line="480" w:lineRule="auto"/>
        <w:ind w:firstLine="720"/>
        <w:rPr>
          <w:rFonts w:ascii="Arial" w:eastAsia="Arial" w:hAnsi="Arial" w:cs="Arial"/>
          <w:color w:val="000000"/>
          <w:sz w:val="22"/>
          <w:szCs w:val="22"/>
        </w:rPr>
      </w:pPr>
      <w:r>
        <w:rPr>
          <w:rFonts w:ascii="Arial" w:eastAsia="Arial" w:hAnsi="Arial" w:cs="Arial"/>
          <w:color w:val="000000"/>
          <w:sz w:val="22"/>
          <w:szCs w:val="22"/>
        </w:rPr>
        <w:t>Total protein content was measured using the Thermo Scientific</w:t>
      </w:r>
      <w:r>
        <w:rPr>
          <w:rFonts w:ascii="Arial" w:eastAsia="Arial" w:hAnsi="Arial" w:cs="Arial"/>
          <w:color w:val="000000"/>
          <w:sz w:val="22"/>
          <w:szCs w:val="22"/>
          <w:vertAlign w:val="superscript"/>
        </w:rPr>
        <w:t xml:space="preserve"> </w:t>
      </w:r>
      <w:r>
        <w:rPr>
          <w:rFonts w:ascii="Arial" w:eastAsia="Arial" w:hAnsi="Arial" w:cs="Arial"/>
          <w:color w:val="000000"/>
          <w:sz w:val="22"/>
          <w:szCs w:val="22"/>
        </w:rPr>
        <w:t>Pierce</w:t>
      </w:r>
      <w:r>
        <w:rPr>
          <w:rFonts w:ascii="Arial" w:eastAsia="Arial" w:hAnsi="Arial" w:cs="Arial"/>
          <w:color w:val="000000"/>
          <w:sz w:val="22"/>
          <w:szCs w:val="22"/>
          <w:vertAlign w:val="superscript"/>
        </w:rPr>
        <w:t>TM</w:t>
      </w:r>
      <w:r>
        <w:rPr>
          <w:rFonts w:ascii="Arial" w:eastAsia="Arial" w:hAnsi="Arial" w:cs="Arial"/>
          <w:color w:val="000000"/>
          <w:sz w:val="22"/>
          <w:szCs w:val="22"/>
        </w:rPr>
        <w:t xml:space="preserve"> BCA Protein Assay Kit (Product number: 23337, Thermo Fisher Scientific) according to manufacturer instructions for microplate samples and was included to test the efficacy of our protein extraction buffer. </w:t>
      </w:r>
    </w:p>
    <w:p w:rsidR="00E279C2" w:rsidRDefault="00E279C2">
      <w:pPr>
        <w:pBdr>
          <w:top w:val="nil"/>
          <w:left w:val="nil"/>
          <w:bottom w:val="nil"/>
          <w:right w:val="nil"/>
          <w:between w:val="nil"/>
        </w:pBdr>
        <w:spacing w:line="480" w:lineRule="auto"/>
        <w:rPr>
          <w:rFonts w:ascii="Arial" w:eastAsia="Arial" w:hAnsi="Arial" w:cs="Arial"/>
          <w:sz w:val="22"/>
          <w:szCs w:val="22"/>
        </w:rPr>
      </w:pPr>
    </w:p>
    <w:p w:rsidR="00E279C2" w:rsidRDefault="00504627">
      <w:pPr>
        <w:pBdr>
          <w:top w:val="nil"/>
          <w:left w:val="nil"/>
          <w:bottom w:val="nil"/>
          <w:right w:val="nil"/>
          <w:between w:val="nil"/>
        </w:pBdr>
        <w:spacing w:line="480" w:lineRule="auto"/>
        <w:rPr>
          <w:rFonts w:ascii="Arial" w:eastAsia="Arial" w:hAnsi="Arial" w:cs="Arial"/>
          <w:i/>
          <w:sz w:val="22"/>
          <w:szCs w:val="22"/>
        </w:rPr>
      </w:pPr>
      <w:r>
        <w:rPr>
          <w:rFonts w:ascii="Arial" w:eastAsia="Arial" w:hAnsi="Arial" w:cs="Arial"/>
          <w:i/>
          <w:sz w:val="22"/>
          <w:szCs w:val="22"/>
        </w:rPr>
        <w:t>Peroxidase (POD) Activity</w:t>
      </w:r>
    </w:p>
    <w:p w:rsidR="00E279C2" w:rsidRDefault="00504627">
      <w:pPr>
        <w:pBdr>
          <w:top w:val="nil"/>
          <w:left w:val="nil"/>
          <w:bottom w:val="nil"/>
          <w:right w:val="nil"/>
          <w:between w:val="nil"/>
        </w:pBdr>
        <w:spacing w:line="480" w:lineRule="auto"/>
        <w:ind w:firstLine="720"/>
        <w:rPr>
          <w:rFonts w:ascii="Arial" w:eastAsia="Arial" w:hAnsi="Arial" w:cs="Arial"/>
          <w:color w:val="000000"/>
          <w:sz w:val="22"/>
          <w:szCs w:val="22"/>
        </w:rPr>
      </w:pPr>
      <w:r>
        <w:rPr>
          <w:rFonts w:ascii="Arial" w:eastAsia="Arial" w:hAnsi="Arial" w:cs="Arial"/>
          <w:color w:val="000000"/>
          <w:sz w:val="22"/>
          <w:szCs w:val="22"/>
        </w:rPr>
        <w:lastRenderedPageBreak/>
        <w:t>POD activity was measured in triplicate for each sample and also included a tissue specific control. Wells of the microplate designated as treatment wells received 143 µL of peroxidase reaction buffer (100 mM sodium phosphate buffer (pH 6.5) containing 5 mM guaiacol). Control wells received 143 µL of 100 mM sodium phosphate buffer (ph 6.5). 25 µL of supernatant (enzyme source) was added to each well.  We then added 32 µL of 5 mM H</w:t>
      </w:r>
      <w:r>
        <w:rPr>
          <w:rFonts w:ascii="Arial" w:eastAsia="Arial" w:hAnsi="Arial" w:cs="Arial"/>
          <w:color w:val="000000"/>
          <w:sz w:val="22"/>
          <w:szCs w:val="22"/>
          <w:vertAlign w:val="subscript"/>
        </w:rPr>
        <w:t>2</w:t>
      </w:r>
      <w:r>
        <w:rPr>
          <w:rFonts w:ascii="Arial" w:eastAsia="Arial" w:hAnsi="Arial" w:cs="Arial"/>
          <w:color w:val="000000"/>
          <w:sz w:val="22"/>
          <w:szCs w:val="22"/>
        </w:rPr>
        <w:t>O</w:t>
      </w:r>
      <w:r>
        <w:rPr>
          <w:rFonts w:ascii="Arial" w:eastAsia="Arial" w:hAnsi="Arial" w:cs="Arial"/>
          <w:color w:val="000000"/>
          <w:sz w:val="22"/>
          <w:szCs w:val="22"/>
          <w:vertAlign w:val="subscript"/>
        </w:rPr>
        <w:t xml:space="preserve">2 </w:t>
      </w:r>
      <w:r>
        <w:rPr>
          <w:rFonts w:ascii="Arial" w:eastAsia="Arial" w:hAnsi="Arial" w:cs="Arial"/>
          <w:color w:val="000000"/>
          <w:sz w:val="22"/>
          <w:szCs w:val="22"/>
        </w:rPr>
        <w:t xml:space="preserve">(final concentration 0.8 mM) to start the reaction. Plates were incubated in the dark for 15 minutes at room temperature before reading absorbance values at 470 nm. </w:t>
      </w:r>
    </w:p>
    <w:p w:rsidR="00E279C2" w:rsidRDefault="00E279C2">
      <w:pPr>
        <w:pBdr>
          <w:top w:val="nil"/>
          <w:left w:val="nil"/>
          <w:bottom w:val="nil"/>
          <w:right w:val="nil"/>
          <w:between w:val="nil"/>
        </w:pBdr>
        <w:spacing w:line="480" w:lineRule="auto"/>
        <w:rPr>
          <w:rFonts w:ascii="Arial" w:eastAsia="Arial" w:hAnsi="Arial" w:cs="Arial"/>
          <w:sz w:val="22"/>
          <w:szCs w:val="22"/>
        </w:rPr>
      </w:pPr>
    </w:p>
    <w:p w:rsidR="00E279C2" w:rsidRDefault="00504627">
      <w:pPr>
        <w:pBdr>
          <w:top w:val="nil"/>
          <w:left w:val="nil"/>
          <w:bottom w:val="nil"/>
          <w:right w:val="nil"/>
          <w:between w:val="nil"/>
        </w:pBdr>
        <w:spacing w:line="480" w:lineRule="auto"/>
        <w:rPr>
          <w:rFonts w:ascii="Arial" w:eastAsia="Arial" w:hAnsi="Arial" w:cs="Arial"/>
          <w:i/>
          <w:sz w:val="22"/>
          <w:szCs w:val="22"/>
        </w:rPr>
      </w:pPr>
      <w:r>
        <w:rPr>
          <w:rFonts w:ascii="Arial" w:eastAsia="Arial" w:hAnsi="Arial" w:cs="Arial"/>
          <w:i/>
          <w:sz w:val="22"/>
          <w:szCs w:val="22"/>
        </w:rPr>
        <w:t xml:space="preserve">Polyphenol oxidase (PPO) Activity </w:t>
      </w:r>
    </w:p>
    <w:p w:rsidR="00E279C2" w:rsidRDefault="00504627">
      <w:pPr>
        <w:pBdr>
          <w:top w:val="nil"/>
          <w:left w:val="nil"/>
          <w:bottom w:val="nil"/>
          <w:right w:val="nil"/>
          <w:between w:val="nil"/>
        </w:pBdr>
        <w:spacing w:line="480" w:lineRule="auto"/>
        <w:ind w:firstLine="720"/>
        <w:rPr>
          <w:rFonts w:ascii="Arial" w:eastAsia="Arial" w:hAnsi="Arial" w:cs="Arial"/>
          <w:color w:val="000000"/>
          <w:sz w:val="22"/>
          <w:szCs w:val="22"/>
        </w:rPr>
      </w:pPr>
      <w:r>
        <w:rPr>
          <w:rFonts w:ascii="Arial" w:eastAsia="Arial" w:hAnsi="Arial" w:cs="Arial"/>
          <w:color w:val="000000"/>
          <w:sz w:val="22"/>
          <w:szCs w:val="22"/>
        </w:rPr>
        <w:t xml:space="preserve">PPO activity was also measured in triplicate per sample (biological replicate) with a tissue specific control. Sample wells received 115 µL of 100 mM sodium phosphate buffer (pH 6.8) and </w:t>
      </w:r>
      <w:r>
        <w:rPr>
          <w:rFonts w:ascii="Arial" w:eastAsia="Arial" w:hAnsi="Arial" w:cs="Arial"/>
          <w:color w:val="000000"/>
          <w:sz w:val="22"/>
          <w:szCs w:val="22"/>
          <w:highlight w:val="white"/>
        </w:rPr>
        <w:t>60</w:t>
      </w:r>
      <w:r>
        <w:rPr>
          <w:rFonts w:ascii="Arial" w:eastAsia="Arial" w:hAnsi="Arial" w:cs="Arial"/>
          <w:color w:val="000000"/>
          <w:sz w:val="22"/>
          <w:szCs w:val="22"/>
        </w:rPr>
        <w:t xml:space="preserve"> µL of 50 mM pyrocatechol. Control wells received </w:t>
      </w:r>
      <w:r>
        <w:rPr>
          <w:rFonts w:ascii="Arial" w:eastAsia="Arial" w:hAnsi="Arial" w:cs="Arial"/>
          <w:color w:val="000000"/>
          <w:sz w:val="22"/>
          <w:szCs w:val="22"/>
          <w:highlight w:val="white"/>
        </w:rPr>
        <w:t>175</w:t>
      </w:r>
      <w:r>
        <w:rPr>
          <w:rFonts w:ascii="Arial" w:eastAsia="Arial" w:hAnsi="Arial" w:cs="Arial"/>
          <w:color w:val="000000"/>
          <w:sz w:val="22"/>
          <w:szCs w:val="22"/>
        </w:rPr>
        <w:t xml:space="preserve"> µL of 100 mM sodium phosphate buffer (pH 6.8). 25 µL of supernatant (enzyme source) was added to all wells. Samples were incubated for 5 minutes before reading absorbance values at 420 nm. </w:t>
      </w:r>
    </w:p>
    <w:p w:rsidR="00E279C2" w:rsidRDefault="00E279C2">
      <w:pPr>
        <w:pBdr>
          <w:top w:val="nil"/>
          <w:left w:val="nil"/>
          <w:bottom w:val="nil"/>
          <w:right w:val="nil"/>
          <w:between w:val="nil"/>
        </w:pBdr>
        <w:spacing w:line="480" w:lineRule="auto"/>
        <w:rPr>
          <w:rFonts w:ascii="Arial" w:eastAsia="Arial" w:hAnsi="Arial" w:cs="Arial"/>
          <w:sz w:val="22"/>
          <w:szCs w:val="22"/>
        </w:rPr>
      </w:pPr>
    </w:p>
    <w:p w:rsidR="00E279C2" w:rsidRDefault="00BF7E21">
      <w:pPr>
        <w:spacing w:line="480" w:lineRule="auto"/>
        <w:rPr>
          <w:rFonts w:ascii="Arial" w:eastAsia="Arial" w:hAnsi="Arial" w:cs="Arial"/>
          <w:i/>
          <w:sz w:val="22"/>
          <w:szCs w:val="22"/>
        </w:rPr>
      </w:pPr>
      <w:r>
        <w:rPr>
          <w:rFonts w:ascii="Arial" w:eastAsia="Arial" w:hAnsi="Arial" w:cs="Arial"/>
          <w:i/>
          <w:sz w:val="22"/>
          <w:szCs w:val="22"/>
        </w:rPr>
        <w:t>Prote</w:t>
      </w:r>
      <w:r w:rsidR="00504627">
        <w:rPr>
          <w:rFonts w:ascii="Arial" w:eastAsia="Arial" w:hAnsi="Arial" w:cs="Arial"/>
          <w:i/>
          <w:sz w:val="22"/>
          <w:szCs w:val="22"/>
        </w:rPr>
        <w:t>ase inhibition (PI) Activity</w:t>
      </w:r>
    </w:p>
    <w:p w:rsidR="00E279C2" w:rsidRDefault="00BF7E21">
      <w:pPr>
        <w:pBdr>
          <w:top w:val="nil"/>
          <w:left w:val="nil"/>
          <w:bottom w:val="nil"/>
          <w:right w:val="nil"/>
          <w:between w:val="nil"/>
        </w:pBdr>
        <w:spacing w:line="480" w:lineRule="auto"/>
        <w:ind w:firstLine="720"/>
        <w:rPr>
          <w:rFonts w:ascii="Arial" w:eastAsia="Arial" w:hAnsi="Arial" w:cs="Arial"/>
          <w:color w:val="000000"/>
          <w:sz w:val="22"/>
          <w:szCs w:val="22"/>
        </w:rPr>
      </w:pPr>
      <w:r>
        <w:rPr>
          <w:rFonts w:ascii="Arial" w:eastAsia="Arial" w:hAnsi="Arial" w:cs="Arial"/>
          <w:color w:val="000000"/>
          <w:sz w:val="22"/>
          <w:szCs w:val="22"/>
        </w:rPr>
        <w:t>Prote</w:t>
      </w:r>
      <w:r w:rsidR="00504627">
        <w:rPr>
          <w:rFonts w:ascii="Arial" w:eastAsia="Arial" w:hAnsi="Arial" w:cs="Arial"/>
          <w:color w:val="000000"/>
          <w:sz w:val="22"/>
          <w:szCs w:val="22"/>
        </w:rPr>
        <w:t xml:space="preserve">ase inhibition activity was quantified using an adapted method from (Orians et al. 2000) where activity is represented by the inhibition of trypsin. This assay requires the preparation of two reaction buffers per sample. Reaction buffer 1 was prepared in tubes with 133.3 µL of Trizma Base buffer, 83.3 µL of 2% azocasein dissolved in Trizma Base buffer, and 33.3 </w:t>
      </w:r>
      <w:r w:rsidR="00D81EFA">
        <w:rPr>
          <w:rFonts w:ascii="Arial" w:eastAsia="Arial" w:hAnsi="Arial" w:cs="Arial"/>
          <w:color w:val="000000"/>
          <w:sz w:val="22"/>
          <w:szCs w:val="22"/>
        </w:rPr>
        <w:t>µL</w:t>
      </w:r>
      <w:r w:rsidR="00504627">
        <w:rPr>
          <w:rFonts w:ascii="Arial" w:eastAsia="Arial" w:hAnsi="Arial" w:cs="Arial"/>
          <w:color w:val="000000"/>
          <w:sz w:val="22"/>
          <w:szCs w:val="22"/>
        </w:rPr>
        <w:t xml:space="preserve"> of 0.001 M HCl solution containing 200 ng of trypsin. Reaction buffer 2 was the same as reaction buffer 1, but additional Trizma base was substituted for the trypsin solution. 100 µL of the sample extract was added to each tube. These </w:t>
      </w:r>
      <w:r w:rsidR="00504627">
        <w:rPr>
          <w:rFonts w:ascii="Arial" w:eastAsia="Arial" w:hAnsi="Arial" w:cs="Arial"/>
          <w:color w:val="000000"/>
          <w:sz w:val="22"/>
          <w:szCs w:val="22"/>
        </w:rPr>
        <w:lastRenderedPageBreak/>
        <w:t xml:space="preserve">serve as the sample measurement tube and the sample control tube. Reaction buffers 1 and 2 were used for positive and negative assay controls, respectively. The assay controls received 100 µL of Trizma base instead of enzyme source. All tubes were incubated at 30°C for 25 minutes. Post-incubation, 133 µL of 100% w/v TCA was added and tubes were centrifuged at 8000 rpm for 10 minutes. After centrifugation, 100 µL of the supernatant were added to wells of a microplate that contained 100 µL of 1M NaOH and absorbance was measured at 450 nm. As with the other assays, samples were run in triplicate. </w:t>
      </w:r>
    </w:p>
    <w:p w:rsidR="00E279C2" w:rsidRDefault="00E279C2">
      <w:pPr>
        <w:pBdr>
          <w:top w:val="nil"/>
          <w:left w:val="nil"/>
          <w:bottom w:val="nil"/>
          <w:right w:val="nil"/>
          <w:between w:val="nil"/>
        </w:pBdr>
        <w:spacing w:line="480" w:lineRule="auto"/>
        <w:rPr>
          <w:rFonts w:ascii="Arial" w:eastAsia="Arial" w:hAnsi="Arial" w:cs="Arial"/>
          <w:sz w:val="22"/>
          <w:szCs w:val="22"/>
        </w:rPr>
      </w:pPr>
    </w:p>
    <w:p w:rsidR="00E279C2" w:rsidRDefault="00504627">
      <w:pPr>
        <w:spacing w:line="480" w:lineRule="auto"/>
        <w:rPr>
          <w:rFonts w:ascii="Arial" w:eastAsia="Arial" w:hAnsi="Arial" w:cs="Arial"/>
          <w:i/>
          <w:sz w:val="22"/>
          <w:szCs w:val="22"/>
        </w:rPr>
      </w:pPr>
      <w:r>
        <w:rPr>
          <w:rFonts w:ascii="Arial" w:eastAsia="Arial" w:hAnsi="Arial" w:cs="Arial"/>
          <w:i/>
          <w:sz w:val="22"/>
          <w:szCs w:val="22"/>
        </w:rPr>
        <w:t>Hydrogen peroxide (H</w:t>
      </w:r>
      <w:r>
        <w:rPr>
          <w:rFonts w:ascii="Arial" w:eastAsia="Arial" w:hAnsi="Arial" w:cs="Arial"/>
          <w:i/>
          <w:sz w:val="22"/>
          <w:szCs w:val="22"/>
          <w:vertAlign w:val="subscript"/>
        </w:rPr>
        <w:t>2</w:t>
      </w:r>
      <w:r>
        <w:rPr>
          <w:rFonts w:ascii="Arial" w:eastAsia="Arial" w:hAnsi="Arial" w:cs="Arial"/>
          <w:i/>
          <w:sz w:val="22"/>
          <w:szCs w:val="22"/>
        </w:rPr>
        <w:t>O</w:t>
      </w:r>
      <w:r>
        <w:rPr>
          <w:rFonts w:ascii="Arial" w:eastAsia="Arial" w:hAnsi="Arial" w:cs="Arial"/>
          <w:i/>
          <w:sz w:val="22"/>
          <w:szCs w:val="22"/>
          <w:vertAlign w:val="subscript"/>
        </w:rPr>
        <w:t>2</w:t>
      </w:r>
      <w:r>
        <w:rPr>
          <w:rFonts w:ascii="Arial" w:eastAsia="Arial" w:hAnsi="Arial" w:cs="Arial"/>
          <w:i/>
          <w:sz w:val="22"/>
          <w:szCs w:val="22"/>
        </w:rPr>
        <w:t xml:space="preserve">) Quantification </w:t>
      </w:r>
    </w:p>
    <w:p w:rsidR="00E279C2" w:rsidRDefault="00504627">
      <w:pPr>
        <w:pBdr>
          <w:top w:val="nil"/>
          <w:left w:val="nil"/>
          <w:bottom w:val="nil"/>
          <w:right w:val="nil"/>
          <w:between w:val="nil"/>
        </w:pBdr>
        <w:spacing w:line="480" w:lineRule="auto"/>
        <w:ind w:firstLine="720"/>
        <w:rPr>
          <w:rFonts w:ascii="Arial" w:eastAsia="Arial" w:hAnsi="Arial" w:cs="Arial"/>
          <w:color w:val="000000"/>
          <w:sz w:val="22"/>
          <w:szCs w:val="22"/>
        </w:rPr>
      </w:pPr>
      <w:r>
        <w:rPr>
          <w:rFonts w:ascii="Arial" w:eastAsia="Arial" w:hAnsi="Arial" w:cs="Arial"/>
          <w:color w:val="000000"/>
          <w:sz w:val="22"/>
          <w:szCs w:val="22"/>
        </w:rPr>
        <w:t>The hydrogen peroxide quantification assay (H</w:t>
      </w:r>
      <w:r>
        <w:rPr>
          <w:rFonts w:ascii="Arial" w:eastAsia="Arial" w:hAnsi="Arial" w:cs="Arial"/>
          <w:color w:val="000000"/>
          <w:sz w:val="22"/>
          <w:szCs w:val="22"/>
          <w:vertAlign w:val="subscript"/>
        </w:rPr>
        <w:t>2</w:t>
      </w:r>
      <w:r>
        <w:rPr>
          <w:rFonts w:ascii="Arial" w:eastAsia="Arial" w:hAnsi="Arial" w:cs="Arial"/>
          <w:color w:val="000000"/>
          <w:sz w:val="22"/>
          <w:szCs w:val="22"/>
        </w:rPr>
        <w:t>O</w:t>
      </w:r>
      <w:r>
        <w:rPr>
          <w:rFonts w:ascii="Arial" w:eastAsia="Arial" w:hAnsi="Arial" w:cs="Arial"/>
          <w:color w:val="000000"/>
          <w:sz w:val="22"/>
          <w:szCs w:val="22"/>
          <w:vertAlign w:val="subscript"/>
        </w:rPr>
        <w:t>2</w:t>
      </w:r>
      <w:r>
        <w:rPr>
          <w:rFonts w:ascii="Arial" w:eastAsia="Arial" w:hAnsi="Arial" w:cs="Arial"/>
          <w:color w:val="000000"/>
          <w:sz w:val="22"/>
          <w:szCs w:val="22"/>
        </w:rPr>
        <w:t xml:space="preserve">) was implemented with few modifications. The primary change was to the measurement wavelength. As measured in </w:t>
      </w:r>
      <w:r>
        <w:rPr>
          <w:rFonts w:ascii="Arial" w:eastAsia="Arial" w:hAnsi="Arial" w:cs="Arial"/>
          <w:sz w:val="22"/>
          <w:szCs w:val="22"/>
        </w:rPr>
        <w:t>Junglee et al. (2014)</w:t>
      </w:r>
      <w:r>
        <w:rPr>
          <w:rFonts w:ascii="Arial" w:eastAsia="Arial" w:hAnsi="Arial" w:cs="Arial"/>
          <w:color w:val="000000"/>
          <w:sz w:val="22"/>
          <w:szCs w:val="22"/>
        </w:rPr>
        <w:t>, the triiodide produced as a result of the reaction mechanism has optimal absorbance at 285 nm with significant differences able to be determined at wavelengths up to 410 nm. We selected 390 nm due to previously published H</w:t>
      </w:r>
      <w:r>
        <w:rPr>
          <w:rFonts w:ascii="Arial" w:eastAsia="Arial" w:hAnsi="Arial" w:cs="Arial"/>
          <w:color w:val="000000"/>
          <w:sz w:val="22"/>
          <w:szCs w:val="22"/>
          <w:vertAlign w:val="subscript"/>
        </w:rPr>
        <w:t>2</w:t>
      </w:r>
      <w:r>
        <w:rPr>
          <w:rFonts w:ascii="Arial" w:eastAsia="Arial" w:hAnsi="Arial" w:cs="Arial"/>
          <w:color w:val="000000"/>
          <w:sz w:val="22"/>
          <w:szCs w:val="22"/>
        </w:rPr>
        <w:t>O</w:t>
      </w:r>
      <w:r>
        <w:rPr>
          <w:rFonts w:ascii="Arial" w:eastAsia="Arial" w:hAnsi="Arial" w:cs="Arial"/>
          <w:color w:val="000000"/>
          <w:sz w:val="22"/>
          <w:szCs w:val="22"/>
          <w:vertAlign w:val="subscript"/>
        </w:rPr>
        <w:t>2</w:t>
      </w:r>
      <w:r>
        <w:rPr>
          <w:rFonts w:ascii="Arial" w:eastAsia="Arial" w:hAnsi="Arial" w:cs="Arial"/>
          <w:color w:val="000000"/>
          <w:sz w:val="22"/>
          <w:szCs w:val="22"/>
        </w:rPr>
        <w:t xml:space="preserve"> assays (Velikova et al. 2000; Junglee et al. 2014), the results of our spectral scan that indicated no significant differences in absorbance values at 390 nm relative to </w:t>
      </w:r>
      <w:r>
        <w:rPr>
          <w:rFonts w:ascii="Arial" w:eastAsia="Arial" w:hAnsi="Arial" w:cs="Arial"/>
          <w:sz w:val="22"/>
          <w:szCs w:val="22"/>
        </w:rPr>
        <w:t>absorbance at 350 nm</w:t>
      </w:r>
      <w:r>
        <w:rPr>
          <w:rFonts w:ascii="Arial" w:eastAsia="Arial" w:hAnsi="Arial" w:cs="Arial"/>
          <w:color w:val="000000"/>
          <w:sz w:val="22"/>
          <w:szCs w:val="22"/>
        </w:rPr>
        <w:t xml:space="preserve"> (t</w:t>
      </w:r>
      <w:r>
        <w:rPr>
          <w:rFonts w:ascii="Arial" w:eastAsia="Arial" w:hAnsi="Arial" w:cs="Arial"/>
          <w:color w:val="000000"/>
          <w:sz w:val="22"/>
          <w:szCs w:val="22"/>
          <w:vertAlign w:val="subscript"/>
        </w:rPr>
        <w:t>(5)</w:t>
      </w:r>
      <w:r>
        <w:rPr>
          <w:rFonts w:ascii="Arial" w:eastAsia="Arial" w:hAnsi="Arial" w:cs="Arial"/>
          <w:color w:val="000000"/>
          <w:sz w:val="22"/>
          <w:szCs w:val="22"/>
        </w:rPr>
        <w:t xml:space="preserve"> = -1.608, p = 0.169) and the fact that 285 nm is cleanly in the ultraviolet range which requires special plates to avoid issues of interference from the standard polymers used in 96-well plates. Sample aliquots were taken from the 0.1% TCA buffer extraction. Sample wells received 100 µL of 1M potassium iodide (KI), 50 µL of 10mM potassium phosphate buffer (pH 6.5), and 50 µL of sample aliquot. Control wells received 100 </w:t>
      </w:r>
      <w:r w:rsidR="00DC2E7D">
        <w:rPr>
          <w:rFonts w:ascii="Arial" w:eastAsia="Arial" w:hAnsi="Arial" w:cs="Arial"/>
          <w:color w:val="000000"/>
          <w:sz w:val="22"/>
          <w:szCs w:val="22"/>
        </w:rPr>
        <w:t>µ</w:t>
      </w:r>
      <w:r>
        <w:rPr>
          <w:rFonts w:ascii="Arial" w:eastAsia="Arial" w:hAnsi="Arial" w:cs="Arial"/>
          <w:color w:val="000000"/>
          <w:sz w:val="22"/>
          <w:szCs w:val="22"/>
        </w:rPr>
        <w:t>L of dH</w:t>
      </w:r>
      <w:r>
        <w:rPr>
          <w:rFonts w:ascii="Arial" w:eastAsia="Arial" w:hAnsi="Arial" w:cs="Arial"/>
          <w:color w:val="000000"/>
          <w:sz w:val="22"/>
          <w:szCs w:val="22"/>
          <w:vertAlign w:val="subscript"/>
        </w:rPr>
        <w:t>2</w:t>
      </w:r>
      <w:r>
        <w:rPr>
          <w:rFonts w:ascii="Arial" w:eastAsia="Arial" w:hAnsi="Arial" w:cs="Arial"/>
          <w:color w:val="000000"/>
          <w:sz w:val="22"/>
          <w:szCs w:val="22"/>
        </w:rPr>
        <w:t xml:space="preserve">O, 50 µL of 10mM potassium phosphate buffer (pH 6.5), and 50 µL of sample aliquot to account for tissue coloration. Samples were incubated in the dark for 20 minutes at room temperature. A standard curve was prepared by </w:t>
      </w:r>
      <w:r>
        <w:rPr>
          <w:rFonts w:ascii="Arial" w:eastAsia="Arial" w:hAnsi="Arial" w:cs="Arial"/>
          <w:color w:val="000000"/>
          <w:sz w:val="22"/>
          <w:szCs w:val="22"/>
        </w:rPr>
        <w:lastRenderedPageBreak/>
        <w:t>preparing wells with 100 µL of 1M potassium iodide (KI), 50 µL of 10mM potassium phosphate buffer (pH 6.5), and 50 µL of 0.1% TCA then seeding with known amounts (5-20 nmoles) of H</w:t>
      </w:r>
      <w:r>
        <w:rPr>
          <w:rFonts w:ascii="Arial" w:eastAsia="Arial" w:hAnsi="Arial" w:cs="Arial"/>
          <w:color w:val="000000"/>
          <w:sz w:val="22"/>
          <w:szCs w:val="22"/>
          <w:vertAlign w:val="subscript"/>
        </w:rPr>
        <w:t>2</w:t>
      </w:r>
      <w:r>
        <w:rPr>
          <w:rFonts w:ascii="Arial" w:eastAsia="Arial" w:hAnsi="Arial" w:cs="Arial"/>
          <w:color w:val="000000"/>
          <w:sz w:val="22"/>
          <w:szCs w:val="22"/>
        </w:rPr>
        <w:t>O</w:t>
      </w:r>
      <w:r>
        <w:rPr>
          <w:rFonts w:ascii="Arial" w:eastAsia="Arial" w:hAnsi="Arial" w:cs="Arial"/>
          <w:color w:val="000000"/>
          <w:sz w:val="22"/>
          <w:szCs w:val="22"/>
          <w:vertAlign w:val="subscript"/>
        </w:rPr>
        <w:t>2</w:t>
      </w:r>
      <w:r>
        <w:rPr>
          <w:rFonts w:ascii="Arial" w:eastAsia="Arial" w:hAnsi="Arial" w:cs="Arial"/>
          <w:color w:val="000000"/>
          <w:sz w:val="22"/>
          <w:szCs w:val="22"/>
        </w:rPr>
        <w:t>. Absorbance was measured at 390 nm and values were compared to the standard curve for quantification in nanomoles.</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sz w:val="22"/>
          <w:szCs w:val="22"/>
        </w:rPr>
      </w:pPr>
      <w:r>
        <w:rPr>
          <w:rFonts w:ascii="Arial" w:eastAsia="Arial" w:hAnsi="Arial" w:cs="Arial"/>
          <w:b/>
          <w:color w:val="000000"/>
          <w:sz w:val="22"/>
          <w:szCs w:val="22"/>
        </w:rPr>
        <w:t xml:space="preserve">Protocol Validation— </w:t>
      </w:r>
      <w:r>
        <w:rPr>
          <w:rFonts w:ascii="Arial" w:eastAsia="Arial" w:hAnsi="Arial" w:cs="Arial"/>
          <w:color w:val="000000"/>
          <w:sz w:val="22"/>
          <w:szCs w:val="22"/>
        </w:rPr>
        <w:t>The success of our protocol hinges on three points that we address through different validation methods. First, we validated that our assay is able to accurately quantify the same amount of enzyme activity compared to assays run using a spectrophotometer. We focused o</w:t>
      </w:r>
      <w:r>
        <w:rPr>
          <w:rFonts w:ascii="Arial" w:eastAsia="Arial" w:hAnsi="Arial" w:cs="Arial"/>
          <w:sz w:val="22"/>
          <w:szCs w:val="22"/>
        </w:rPr>
        <w:t>n POD and PPO, t</w:t>
      </w:r>
      <w:r>
        <w:rPr>
          <w:rFonts w:ascii="Arial" w:eastAsia="Arial" w:hAnsi="Arial" w:cs="Arial"/>
          <w:sz w:val="22"/>
          <w:szCs w:val="22"/>
          <w:highlight w:val="white"/>
        </w:rPr>
        <w:t>he two enzymes assayed</w:t>
      </w:r>
      <w:r>
        <w:rPr>
          <w:rFonts w:ascii="Arial" w:eastAsia="Arial" w:hAnsi="Arial" w:cs="Arial"/>
          <w:sz w:val="22"/>
          <w:szCs w:val="22"/>
        </w:rPr>
        <w:t xml:space="preserve"> given these were the most modified protocols. Implementation of published protocols (Orians et al. 2000; War et al. 2011) on </w:t>
      </w:r>
      <w:r>
        <w:rPr>
          <w:rFonts w:ascii="Arial" w:eastAsia="Arial" w:hAnsi="Arial" w:cs="Arial"/>
          <w:i/>
          <w:sz w:val="22"/>
          <w:szCs w:val="22"/>
        </w:rPr>
        <w:t>S. lycopersicum</w:t>
      </w:r>
      <w:r>
        <w:rPr>
          <w:rFonts w:ascii="Arial" w:eastAsia="Arial" w:hAnsi="Arial" w:cs="Arial"/>
          <w:sz w:val="22"/>
          <w:szCs w:val="22"/>
        </w:rPr>
        <w:t xml:space="preserve"> provided us with a point of reference for comparison of our modified methods. By first establishing an expected response to a given treatment we are able to determine if the measured microplate response is sufficiently similar and reproducible. </w:t>
      </w:r>
      <w:r>
        <w:rPr>
          <w:rFonts w:ascii="Arial" w:eastAsia="Arial" w:hAnsi="Arial" w:cs="Arial"/>
          <w:sz w:val="22"/>
          <w:szCs w:val="22"/>
          <w:highlight w:val="white"/>
        </w:rPr>
        <w:t>Bo</w:t>
      </w:r>
      <w:r>
        <w:rPr>
          <w:rFonts w:ascii="Arial" w:eastAsia="Arial" w:hAnsi="Arial" w:cs="Arial"/>
          <w:color w:val="222222"/>
          <w:sz w:val="22"/>
          <w:szCs w:val="22"/>
          <w:highlight w:val="white"/>
        </w:rPr>
        <w:t>th assays underwent similar modifications during the scaling process. Previous protocols required between 0.025 mL to 0.100 mL of 1X crude extract to be assayed in a final volume of between 2.5 mL and 3.1 mL of solution (Cavalcanti et al. 2004; Goud and Kachole 2012)</w:t>
      </w:r>
      <w:r>
        <w:rPr>
          <w:rFonts w:ascii="Arial" w:eastAsia="Arial" w:hAnsi="Arial" w:cs="Arial"/>
          <w:sz w:val="22"/>
          <w:szCs w:val="22"/>
        </w:rPr>
        <w:t xml:space="preserve">. When scaling our total assay volumes down to fit the requirements of a standard 96-well microplate the volumes were reduced ~100 fold. </w:t>
      </w:r>
    </w:p>
    <w:p w:rsidR="00E279C2" w:rsidRDefault="00504627" w:rsidP="00691CFE">
      <w:pPr>
        <w:pBdr>
          <w:top w:val="nil"/>
          <w:left w:val="nil"/>
          <w:bottom w:val="nil"/>
          <w:right w:val="nil"/>
          <w:between w:val="nil"/>
        </w:pBdr>
        <w:spacing w:line="480" w:lineRule="auto"/>
        <w:ind w:firstLine="720"/>
        <w:rPr>
          <w:rFonts w:ascii="Arial" w:eastAsia="Arial" w:hAnsi="Arial" w:cs="Arial"/>
          <w:color w:val="000000"/>
          <w:sz w:val="22"/>
          <w:szCs w:val="22"/>
        </w:rPr>
      </w:pPr>
      <w:r>
        <w:rPr>
          <w:rFonts w:ascii="Arial" w:eastAsia="Arial" w:hAnsi="Arial" w:cs="Arial"/>
          <w:color w:val="000000"/>
          <w:sz w:val="22"/>
          <w:szCs w:val="22"/>
        </w:rPr>
        <w:t xml:space="preserve">For each assay we generated standard curves from enzymes obtained from Worthington Biochemical Corporation (New Jersey, USA). Horseradish peroxidase with an activity of 220 U/mg dry mass was diluted to a stock concentration of 100 mU/mL in PE buffer. Standard curves were used to verify that the protocol was detecting analyte quantities within the detection limits of the machines used for absorbance measurements (Fig. 1).  Serial dilutions were performed to get the concentration values </w:t>
      </w:r>
      <w:r>
        <w:rPr>
          <w:rFonts w:ascii="Arial" w:eastAsia="Arial" w:hAnsi="Arial" w:cs="Arial"/>
          <w:color w:val="000000"/>
          <w:sz w:val="22"/>
          <w:szCs w:val="22"/>
        </w:rPr>
        <w:lastRenderedPageBreak/>
        <w:t>as follows: 100 mU/mL, 50 mU/mL, 25 mU/mL, 10 mU/mL, 5 mU/mL, 2</w:t>
      </w:r>
      <w:r>
        <w:rPr>
          <w:rFonts w:ascii="Arial" w:eastAsia="Arial" w:hAnsi="Arial" w:cs="Arial"/>
          <w:sz w:val="22"/>
          <w:szCs w:val="22"/>
        </w:rPr>
        <w:t>.</w:t>
      </w:r>
      <w:r>
        <w:rPr>
          <w:rFonts w:ascii="Arial" w:eastAsia="Arial" w:hAnsi="Arial" w:cs="Arial"/>
          <w:color w:val="000000"/>
          <w:sz w:val="22"/>
          <w:szCs w:val="22"/>
        </w:rPr>
        <w:t xml:space="preserve">5 mU/mL, 1.25 mU/mL, 0.625 mU/mL, and 0 mU/mL. </w:t>
      </w:r>
    </w:p>
    <w:p w:rsidR="00E279C2" w:rsidRDefault="00504627" w:rsidP="00691CFE">
      <w:pPr>
        <w:pBdr>
          <w:top w:val="nil"/>
          <w:left w:val="nil"/>
          <w:bottom w:val="nil"/>
          <w:right w:val="nil"/>
          <w:between w:val="nil"/>
        </w:pBdr>
        <w:spacing w:line="480" w:lineRule="auto"/>
        <w:ind w:firstLine="720"/>
        <w:rPr>
          <w:rFonts w:ascii="Arial" w:eastAsia="Arial" w:hAnsi="Arial" w:cs="Arial"/>
          <w:b/>
          <w:color w:val="000000"/>
          <w:sz w:val="22"/>
          <w:szCs w:val="22"/>
          <w:highlight w:val="yellow"/>
        </w:rPr>
      </w:pPr>
      <w:r>
        <w:rPr>
          <w:rFonts w:ascii="Arial" w:eastAsia="Arial" w:hAnsi="Arial" w:cs="Arial"/>
          <w:color w:val="000000"/>
          <w:sz w:val="22"/>
          <w:szCs w:val="22"/>
        </w:rPr>
        <w:t>Mushroom polyphenol oxidase with an activity of 630 U/mg dry mass was diluted to a stock concentration of 100 U/mL in PE buffer. Serial dilutions were performed to get the concentration values as follows: 1000 U/mL, 500 U/mL, 250 U/mL, 125 U/mL, 62.5 U/mL, 31.625 U/mL, 15.625 U/mL, 7.81 U/ml, 3.91 U/mL, 1.95 U/mL, 0.977 U/mL. Absorbance values were measured using the SpectraMax M2 and the r</w:t>
      </w:r>
      <w:r>
        <w:rPr>
          <w:rFonts w:ascii="Arial" w:eastAsia="Arial" w:hAnsi="Arial" w:cs="Arial"/>
          <w:color w:val="000000"/>
          <w:sz w:val="22"/>
          <w:szCs w:val="22"/>
          <w:vertAlign w:val="superscript"/>
        </w:rPr>
        <w:t>2</w:t>
      </w:r>
      <w:r>
        <w:rPr>
          <w:rFonts w:ascii="Arial" w:eastAsia="Arial" w:hAnsi="Arial" w:cs="Arial"/>
          <w:color w:val="000000"/>
          <w:sz w:val="22"/>
          <w:szCs w:val="22"/>
        </w:rPr>
        <w:t xml:space="preserve"> values are similar for both standard curves (Fig 1).  This suggests that </w:t>
      </w:r>
      <w:r>
        <w:rPr>
          <w:rFonts w:ascii="Arial" w:eastAsia="Arial" w:hAnsi="Arial" w:cs="Arial"/>
          <w:sz w:val="22"/>
          <w:szCs w:val="22"/>
        </w:rPr>
        <w:t>both machines are able to accurately predict concentrations given an absorbance due to the high r</w:t>
      </w:r>
      <w:r>
        <w:rPr>
          <w:rFonts w:ascii="Arial" w:eastAsia="Arial" w:hAnsi="Arial" w:cs="Arial"/>
          <w:sz w:val="22"/>
          <w:szCs w:val="22"/>
          <w:vertAlign w:val="superscript"/>
        </w:rPr>
        <w:t>2</w:t>
      </w:r>
      <w:r>
        <w:rPr>
          <w:rFonts w:ascii="Arial" w:eastAsia="Arial" w:hAnsi="Arial" w:cs="Arial"/>
          <w:sz w:val="22"/>
          <w:szCs w:val="22"/>
        </w:rPr>
        <w:t xml:space="preserve"> values. </w:t>
      </w:r>
    </w:p>
    <w:p w:rsidR="00E279C2" w:rsidRDefault="00504627">
      <w:pPr>
        <w:pBdr>
          <w:top w:val="nil"/>
          <w:left w:val="nil"/>
          <w:bottom w:val="nil"/>
          <w:right w:val="nil"/>
          <w:between w:val="nil"/>
        </w:pBdr>
        <w:spacing w:line="480" w:lineRule="auto"/>
        <w:ind w:firstLine="720"/>
        <w:rPr>
          <w:rFonts w:ascii="Arial" w:eastAsia="Arial" w:hAnsi="Arial" w:cs="Arial"/>
          <w:color w:val="000000"/>
          <w:sz w:val="22"/>
          <w:szCs w:val="22"/>
        </w:rPr>
      </w:pPr>
      <w:r>
        <w:rPr>
          <w:rFonts w:ascii="Arial" w:eastAsia="Arial" w:hAnsi="Arial" w:cs="Arial"/>
          <w:color w:val="000000"/>
          <w:sz w:val="22"/>
          <w:szCs w:val="22"/>
        </w:rPr>
        <w:t>Given the large quantities of tissue that are required for spectrophotometric-based assays, researchers are often forced to pool tissue samples from different plants. Our microplate protocols require much smaller quantities of plant tissue, allowing us to measure each plant in</w:t>
      </w:r>
      <w:r>
        <w:rPr>
          <w:rFonts w:ascii="Arial" w:eastAsia="Arial" w:hAnsi="Arial" w:cs="Arial"/>
          <w:sz w:val="22"/>
          <w:szCs w:val="22"/>
        </w:rPr>
        <w:t>dividually. Current practice for many of these assays is to pool tissue samples from multiple plants. We show that there is significant variation in expression both pre- and post-herbivory between the five tomato plants of the same ecotype used in all five assays (Appendix 3 and Table 1). Table 1 shows the result</w:t>
      </w:r>
      <w:r w:rsidR="00691CFE">
        <w:rPr>
          <w:rFonts w:ascii="Arial" w:eastAsia="Arial" w:hAnsi="Arial" w:cs="Arial"/>
          <w:sz w:val="22"/>
          <w:szCs w:val="22"/>
        </w:rPr>
        <w:t>s of an ANOVA where we compare a</w:t>
      </w:r>
      <w:r>
        <w:rPr>
          <w:rFonts w:ascii="Arial" w:eastAsia="Arial" w:hAnsi="Arial" w:cs="Arial"/>
          <w:sz w:val="22"/>
          <w:szCs w:val="22"/>
        </w:rPr>
        <w:t>bsorbance values based on plant sample pre- and post- herbivory and show that there is significant variation between plants of the same ecotype that were grown in the same environment. This variation highlights the strength of our assay, which does not require plant tissue to be pooled This is important because it indicates that our readings are more reproducible than alternative methods (Table 2). Pooling tiss</w:t>
      </w:r>
      <w:r>
        <w:rPr>
          <w:rFonts w:ascii="Arial" w:eastAsia="Arial" w:hAnsi="Arial" w:cs="Arial"/>
          <w:color w:val="000000"/>
          <w:sz w:val="22"/>
          <w:szCs w:val="22"/>
        </w:rPr>
        <w:t>ue samples</w:t>
      </w:r>
      <w:r>
        <w:rPr>
          <w:rFonts w:ascii="Arial" w:eastAsia="Arial" w:hAnsi="Arial" w:cs="Arial"/>
          <w:sz w:val="22"/>
          <w:szCs w:val="22"/>
        </w:rPr>
        <w:t xml:space="preserve">, </w:t>
      </w:r>
      <w:r>
        <w:rPr>
          <w:rFonts w:ascii="Arial" w:eastAsia="Arial" w:hAnsi="Arial" w:cs="Arial"/>
          <w:color w:val="000000"/>
          <w:sz w:val="22"/>
          <w:szCs w:val="22"/>
        </w:rPr>
        <w:t xml:space="preserve">such as what is required </w:t>
      </w:r>
      <w:r>
        <w:rPr>
          <w:rFonts w:ascii="Arial" w:eastAsia="Arial" w:hAnsi="Arial" w:cs="Arial"/>
          <w:sz w:val="22"/>
          <w:szCs w:val="22"/>
        </w:rPr>
        <w:t>to get adequate tissue masses for spectrophotometric assays,</w:t>
      </w:r>
      <w:r>
        <w:rPr>
          <w:rFonts w:ascii="Arial" w:eastAsia="Arial" w:hAnsi="Arial" w:cs="Arial"/>
          <w:color w:val="000000"/>
          <w:sz w:val="22"/>
          <w:szCs w:val="22"/>
        </w:rPr>
        <w:t xml:space="preserve"> increases variability due to the sample pool containing multiple individual plant responses and makes a strong argument for assaying individual plants (Zhang and Gant 2005). The difference in absorbance means between the </w:t>
      </w:r>
      <w:r>
        <w:rPr>
          <w:rFonts w:ascii="Arial" w:eastAsia="Arial" w:hAnsi="Arial" w:cs="Arial"/>
          <w:color w:val="000000"/>
          <w:sz w:val="22"/>
          <w:szCs w:val="22"/>
        </w:rPr>
        <w:lastRenderedPageBreak/>
        <w:t xml:space="preserve">microplate method and the spectrophotometric method are not of concern since differences can be explained as a consequence of using </w:t>
      </w:r>
      <w:r>
        <w:rPr>
          <w:rFonts w:ascii="Arial" w:eastAsia="Arial" w:hAnsi="Arial" w:cs="Arial"/>
          <w:sz w:val="22"/>
          <w:szCs w:val="22"/>
        </w:rPr>
        <w:t>different detection methods</w:t>
      </w:r>
      <w:r>
        <w:rPr>
          <w:rFonts w:ascii="Arial" w:eastAsia="Arial" w:hAnsi="Arial" w:cs="Arial"/>
          <w:color w:val="000000"/>
          <w:sz w:val="22"/>
          <w:szCs w:val="22"/>
        </w:rPr>
        <w:t>. However, researchers are limited in what they can measure using spectrophotometers if their study system does not develop large or many leaves. We serially diluted tomato tissue to measure the lower limits of detection for our POD and PPO microplate assays and found that we were able to detect expression in as little as 3.8 mg of tissue. T</w:t>
      </w:r>
      <w:r>
        <w:rPr>
          <w:rFonts w:ascii="Arial" w:eastAsia="Arial" w:hAnsi="Arial" w:cs="Arial"/>
          <w:sz w:val="22"/>
          <w:szCs w:val="22"/>
        </w:rPr>
        <w:t>his was determined by doing a series of dilutions on a tissue sample to determine the linear range of the microplate assay</w:t>
      </w:r>
      <w:r>
        <w:rPr>
          <w:rFonts w:ascii="Arial" w:eastAsia="Arial" w:hAnsi="Arial" w:cs="Arial"/>
          <w:color w:val="000000"/>
          <w:sz w:val="22"/>
          <w:szCs w:val="22"/>
        </w:rPr>
        <w:t xml:space="preserve"> (Fig. 2). Then, we ran all of our assays on trifoliate leaves (ranging in mass from 12 mg to 56 mg) collected from </w:t>
      </w:r>
      <w:r>
        <w:rPr>
          <w:rFonts w:ascii="Arial" w:eastAsia="Arial" w:hAnsi="Arial" w:cs="Arial"/>
          <w:i/>
          <w:color w:val="000000"/>
          <w:sz w:val="22"/>
          <w:szCs w:val="22"/>
        </w:rPr>
        <w:t>M. polymorpha</w:t>
      </w:r>
      <w:r>
        <w:rPr>
          <w:rFonts w:ascii="Arial" w:eastAsia="Arial" w:hAnsi="Arial" w:cs="Arial"/>
          <w:color w:val="000000"/>
          <w:sz w:val="22"/>
          <w:szCs w:val="22"/>
        </w:rPr>
        <w:t xml:space="preserve"> as proof of concept that we could detect expression in actual small leaf tissue samples (Appendix 4).  </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504627">
      <w:pPr>
        <w:pBdr>
          <w:top w:val="nil"/>
          <w:left w:val="nil"/>
          <w:bottom w:val="nil"/>
          <w:right w:val="nil"/>
          <w:between w:val="nil"/>
        </w:pBdr>
        <w:spacing w:line="480" w:lineRule="auto"/>
        <w:jc w:val="center"/>
        <w:rPr>
          <w:rFonts w:ascii="Arial" w:eastAsia="Arial" w:hAnsi="Arial" w:cs="Arial"/>
          <w:b/>
          <w:color w:val="000000"/>
          <w:sz w:val="22"/>
          <w:szCs w:val="22"/>
        </w:rPr>
      </w:pPr>
      <w:r>
        <w:rPr>
          <w:rFonts w:ascii="Arial" w:eastAsia="Arial" w:hAnsi="Arial" w:cs="Arial"/>
          <w:b/>
          <w:color w:val="000000"/>
          <w:sz w:val="22"/>
          <w:szCs w:val="22"/>
        </w:rPr>
        <w:t>CONCLUSIONS</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 xml:space="preserve">The measurement of plant biochemical variation in response to insect herbivory previously faced substantial limitations that have hindered the progress of the field. In particular, current practice in many labs is to use a single ecotype to measure differences between experimental treatments and to pool tissue from multiple leaves and individuals to obtain sufficient sample mass (War et al. 2011; Rajendran et al. 2014; Ferrieri et al. 2015). However, this approach has precluded the study of variation within and between individuals, which is what is relevant for real-world interactions (Whitham 1983; Winn 1996; Bolnick et al. 2011). In contrast to previous techniques (Orians et al. 2000; War et al. 2011; Junglee et al. 2014), our protocol offers the ability to implement multiple assays on a large sample set by consolidating sample preparation buffers and running all assays on a microplate reader. This not only dramatically reduces the amount of tissue needed for a given assay, but also reduces the total time required to perform a </w:t>
      </w:r>
      <w:r>
        <w:rPr>
          <w:rFonts w:ascii="Arial" w:eastAsia="Arial" w:hAnsi="Arial" w:cs="Arial"/>
          <w:color w:val="000000"/>
          <w:sz w:val="22"/>
          <w:szCs w:val="22"/>
        </w:rPr>
        <w:lastRenderedPageBreak/>
        <w:t xml:space="preserve">given assay set. </w:t>
      </w:r>
      <w:r w:rsidR="0026247E">
        <w:rPr>
          <w:rFonts w:ascii="Arial" w:eastAsia="Arial" w:hAnsi="Arial" w:cs="Arial"/>
          <w:color w:val="000000"/>
          <w:sz w:val="22"/>
          <w:szCs w:val="22"/>
        </w:rPr>
        <w:t xml:space="preserve">It took 1.5 hours to run the spectrophotometer protocols for the standard curves for just eleven samples. In contrast, between two researchers, we were able to perform each assay on three hundred samples in triplicate in under six hours. </w:t>
      </w:r>
    </w:p>
    <w:p w:rsidR="00E279C2" w:rsidRDefault="00504627">
      <w:pPr>
        <w:pBdr>
          <w:top w:val="nil"/>
          <w:left w:val="nil"/>
          <w:bottom w:val="nil"/>
          <w:right w:val="nil"/>
          <w:between w:val="nil"/>
        </w:pBdr>
        <w:spacing w:line="480" w:lineRule="auto"/>
        <w:ind w:firstLine="720"/>
        <w:rPr>
          <w:rFonts w:ascii="Arial" w:eastAsia="Arial" w:hAnsi="Arial" w:cs="Arial"/>
          <w:color w:val="000000"/>
          <w:sz w:val="22"/>
          <w:szCs w:val="22"/>
        </w:rPr>
      </w:pPr>
      <w:r>
        <w:rPr>
          <w:rFonts w:ascii="Arial" w:eastAsia="Arial" w:hAnsi="Arial" w:cs="Arial"/>
          <w:color w:val="000000"/>
          <w:sz w:val="22"/>
          <w:szCs w:val="22"/>
        </w:rPr>
        <w:t xml:space="preserve">Using our high-throughput protocols, researchers can now compare variation both within and between individuals, genotypes, and populations. Genetic and evolutionary biology studies often focus on variation between genotypes [e.g. (Fitzpatrick et al. 2015; Kerwin et al. 2015)], which requires higher levels of experimental replication afforded by our method. Understanding the genetic variation associated with plant biochemical responses is critical both for understanding how coevolution has shaped these interactions as well as for the success of molecular plant breeding for enhancing these interactions in agronomic settings. Importantly, our protocol also enables paired measurements of multiple defense responses on the same tissue. This has several advantages over testing pools of tissue or defense responses on separate tissues–notably, we find high inter-individual variation in biochemical responses within a single genotype of </w:t>
      </w:r>
      <w:r>
        <w:rPr>
          <w:rFonts w:ascii="Arial" w:eastAsia="Arial" w:hAnsi="Arial" w:cs="Arial"/>
          <w:i/>
          <w:color w:val="000000"/>
          <w:sz w:val="22"/>
          <w:szCs w:val="22"/>
        </w:rPr>
        <w:t>Solanum lycopersicum</w:t>
      </w:r>
      <w:r>
        <w:rPr>
          <w:rFonts w:ascii="Arial" w:eastAsia="Arial" w:hAnsi="Arial" w:cs="Arial"/>
          <w:color w:val="000000"/>
          <w:sz w:val="22"/>
          <w:szCs w:val="22"/>
        </w:rPr>
        <w:t>, underscoring how critical it is to perform paired assays. Furthermore, measuring the production of multiple metabolites/enzymes within a single sample will enable researchers to quantify tradeoffs in phytochemical production at the level of individual leaves, the scale at which insects interact with their plant hosts. Our protocol also enables researchers to compare systemic versus localized defense responses within the same plant, since multiple leaves can be assayed in parallel. Moreover, increased biological replication provides researchers the opportunity to test hypotheses with enhanced statistical power.</w:t>
      </w:r>
    </w:p>
    <w:p w:rsidR="00E279C2" w:rsidRDefault="00E279C2">
      <w:pPr>
        <w:pBdr>
          <w:top w:val="nil"/>
          <w:left w:val="nil"/>
          <w:bottom w:val="nil"/>
          <w:right w:val="nil"/>
          <w:between w:val="nil"/>
        </w:pBdr>
        <w:spacing w:line="480" w:lineRule="auto"/>
        <w:ind w:firstLine="720"/>
        <w:rPr>
          <w:rFonts w:ascii="Arial" w:eastAsia="Arial" w:hAnsi="Arial" w:cs="Arial"/>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b/>
          <w:color w:val="000000"/>
          <w:sz w:val="22"/>
          <w:szCs w:val="22"/>
        </w:rPr>
      </w:pPr>
      <w:r>
        <w:rPr>
          <w:rFonts w:ascii="Arial" w:eastAsia="Arial" w:hAnsi="Arial" w:cs="Arial"/>
          <w:b/>
          <w:color w:val="000000"/>
          <w:sz w:val="22"/>
          <w:szCs w:val="22"/>
        </w:rPr>
        <w:t xml:space="preserve">Acknowledgements </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lastRenderedPageBreak/>
        <w:t>This research was supported the National Science Foundation awards DEB-1354878 (MLF) and DEB-1355216 (SSP); a fellowship from Michigan State University under the Training Program in Plant Biotechnology for Health and Sustainability (T32-GM110523; SLR). This material is based in part upon work supported by the National Science Foundation under Cooperative Agreement No. DBI-0939454 (CNJ). Any opinions, findings, and conclusions or recommendations expressed in this material are those of the author(s) and do not necessarily reflect the views of the National Science Foundation.</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b/>
          <w:color w:val="000000"/>
          <w:sz w:val="22"/>
          <w:szCs w:val="22"/>
        </w:rPr>
      </w:pPr>
      <w:r>
        <w:rPr>
          <w:rFonts w:ascii="Arial" w:eastAsia="Arial" w:hAnsi="Arial" w:cs="Arial"/>
          <w:b/>
          <w:color w:val="000000"/>
          <w:sz w:val="22"/>
          <w:szCs w:val="22"/>
        </w:rPr>
        <w:t xml:space="preserve">Author Contributions </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CNJ and SLR conceived of and designed the study in discussion with MLF. CNJ and SLR performed the experiments. CNJ analyzed the data. SSP contributed with sample preparation. CNJ and SLR drafted the manuscript. CNJ, SLR, SSP, and MLF provided critical feedback and revisions to the manuscript. CNJ, SLR, SSP, and MLF gave final approval of the version to be published</w:t>
      </w:r>
    </w:p>
    <w:p w:rsidR="00E279C2" w:rsidRDefault="00E279C2">
      <w:pPr>
        <w:pBdr>
          <w:top w:val="nil"/>
          <w:left w:val="nil"/>
          <w:bottom w:val="nil"/>
          <w:right w:val="nil"/>
          <w:between w:val="nil"/>
        </w:pBdr>
        <w:spacing w:line="480" w:lineRule="auto"/>
        <w:ind w:hanging="90"/>
        <w:rPr>
          <w:rFonts w:ascii="Arial" w:eastAsia="Arial" w:hAnsi="Arial" w:cs="Arial"/>
          <w:color w:val="000000"/>
          <w:sz w:val="22"/>
          <w:szCs w:val="22"/>
        </w:rPr>
      </w:pPr>
    </w:p>
    <w:p w:rsidR="00E279C2" w:rsidRDefault="00504627">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LITERATURE CITED</w:t>
      </w:r>
    </w:p>
    <w:p w:rsidR="00E279C2" w:rsidRDefault="00E279C2">
      <w:pPr>
        <w:pBdr>
          <w:top w:val="nil"/>
          <w:left w:val="nil"/>
          <w:bottom w:val="nil"/>
          <w:right w:val="nil"/>
          <w:between w:val="nil"/>
        </w:pBdr>
        <w:jc w:val="center"/>
        <w:rPr>
          <w:rFonts w:ascii="Arial" w:eastAsia="Arial" w:hAnsi="Arial" w:cs="Arial"/>
          <w:b/>
          <w:color w:val="000000"/>
          <w:sz w:val="22"/>
          <w:szCs w:val="22"/>
        </w:rPr>
      </w:pPr>
    </w:p>
    <w:p w:rsidR="00E279C2" w:rsidRDefault="00504627">
      <w:pPr>
        <w:pBdr>
          <w:top w:val="nil"/>
          <w:left w:val="nil"/>
          <w:bottom w:val="nil"/>
          <w:right w:val="nil"/>
          <w:between w:val="nil"/>
        </w:pBdr>
        <w:spacing w:after="480" w:line="480" w:lineRule="auto"/>
        <w:rPr>
          <w:rFonts w:ascii="Arial" w:eastAsia="Arial" w:hAnsi="Arial" w:cs="Arial"/>
          <w:color w:val="000000"/>
          <w:sz w:val="22"/>
          <w:szCs w:val="22"/>
        </w:rPr>
      </w:pPr>
      <w:r>
        <w:rPr>
          <w:rFonts w:ascii="Arial" w:eastAsia="Arial" w:hAnsi="Arial" w:cs="Arial"/>
          <w:color w:val="000000"/>
          <w:sz w:val="22"/>
          <w:szCs w:val="22"/>
        </w:rPr>
        <w:t xml:space="preserve">Bolnick DI, Amarasekare P, Araújo MS, Bürger R, Levine JM, Novak M, Rudolf VH, Schreiber SJ, Urban MC, Vasseur DA (2011) Why intraspecific trait variation matters in community ecology. </w:t>
      </w:r>
      <w:r>
        <w:rPr>
          <w:rFonts w:ascii="Arial" w:eastAsia="Arial" w:hAnsi="Arial" w:cs="Arial"/>
          <w:b/>
          <w:color w:val="000000"/>
          <w:sz w:val="22"/>
          <w:szCs w:val="22"/>
        </w:rPr>
        <w:t>Trends in ecology &amp; evolution</w:t>
      </w:r>
      <w:r>
        <w:rPr>
          <w:rFonts w:ascii="Arial" w:eastAsia="Arial" w:hAnsi="Arial" w:cs="Arial"/>
          <w:color w:val="000000"/>
          <w:sz w:val="22"/>
          <w:szCs w:val="22"/>
        </w:rPr>
        <w:t xml:space="preserve"> 26: 183-192</w:t>
      </w:r>
    </w:p>
    <w:p w:rsidR="00E279C2" w:rsidRDefault="00504627">
      <w:pPr>
        <w:pBdr>
          <w:top w:val="nil"/>
          <w:left w:val="nil"/>
          <w:bottom w:val="nil"/>
          <w:right w:val="nil"/>
          <w:between w:val="nil"/>
        </w:pBdr>
        <w:spacing w:after="480" w:line="480" w:lineRule="auto"/>
        <w:rPr>
          <w:rFonts w:ascii="Arial" w:eastAsia="Arial" w:hAnsi="Arial" w:cs="Arial"/>
          <w:color w:val="000000"/>
          <w:sz w:val="22"/>
          <w:szCs w:val="22"/>
        </w:rPr>
      </w:pPr>
      <w:r>
        <w:rPr>
          <w:rFonts w:ascii="Arial" w:eastAsia="Arial" w:hAnsi="Arial" w:cs="Arial"/>
          <w:color w:val="000000"/>
          <w:sz w:val="22"/>
          <w:szCs w:val="22"/>
        </w:rPr>
        <w:t xml:space="preserve">Bradford MM (1976) A rapid and sensitive method for the quantitation of microgram quantities of protein utilizing the principle of protein-dye binding. </w:t>
      </w:r>
      <w:r>
        <w:rPr>
          <w:rFonts w:ascii="Arial" w:eastAsia="Arial" w:hAnsi="Arial" w:cs="Arial"/>
          <w:b/>
          <w:color w:val="000000"/>
          <w:sz w:val="22"/>
          <w:szCs w:val="22"/>
        </w:rPr>
        <w:t>Analytical biochemistry</w:t>
      </w:r>
      <w:r>
        <w:rPr>
          <w:rFonts w:ascii="Arial" w:eastAsia="Arial" w:hAnsi="Arial" w:cs="Arial"/>
          <w:color w:val="000000"/>
          <w:sz w:val="22"/>
          <w:szCs w:val="22"/>
        </w:rPr>
        <w:t xml:space="preserve"> 72: 248-254</w:t>
      </w:r>
    </w:p>
    <w:p w:rsidR="00E279C2" w:rsidRDefault="00504627">
      <w:pPr>
        <w:pBdr>
          <w:top w:val="nil"/>
          <w:left w:val="nil"/>
          <w:bottom w:val="nil"/>
          <w:right w:val="nil"/>
          <w:between w:val="nil"/>
        </w:pBdr>
        <w:spacing w:after="480" w:line="480" w:lineRule="auto"/>
        <w:rPr>
          <w:rFonts w:ascii="Arial" w:eastAsia="Arial" w:hAnsi="Arial" w:cs="Arial"/>
          <w:color w:val="000000"/>
          <w:sz w:val="22"/>
          <w:szCs w:val="22"/>
        </w:rPr>
      </w:pPr>
      <w:r>
        <w:rPr>
          <w:rFonts w:ascii="Arial" w:eastAsia="Arial" w:hAnsi="Arial" w:cs="Arial"/>
          <w:color w:val="000000"/>
          <w:sz w:val="22"/>
          <w:szCs w:val="22"/>
        </w:rPr>
        <w:lastRenderedPageBreak/>
        <w:t>Cavalcanti FR, Oliveira JTA, Martins</w:t>
      </w:r>
      <w:r>
        <w:rPr>
          <w:rFonts w:ascii="Adobe Caslon Pro Bold" w:eastAsia="Adobe Caslon Pro Bold" w:hAnsi="Adobe Caslon Pro Bold" w:cs="Adobe Caslon Pro Bold"/>
          <w:color w:val="000000"/>
          <w:sz w:val="22"/>
          <w:szCs w:val="22"/>
        </w:rPr>
        <w:t>‐</w:t>
      </w:r>
      <w:r>
        <w:rPr>
          <w:rFonts w:ascii="Arial" w:eastAsia="Arial" w:hAnsi="Arial" w:cs="Arial"/>
          <w:color w:val="000000"/>
          <w:sz w:val="22"/>
          <w:szCs w:val="22"/>
        </w:rPr>
        <w:t>Miranda AS, Viégas RA, Silveira JAG (2004) Superoxide dismutase, catalase and peroxidase activities do not confer protection against oxidative damage in salt</w:t>
      </w:r>
      <w:r>
        <w:rPr>
          <w:rFonts w:ascii="Adobe Caslon Pro Bold" w:eastAsia="Adobe Caslon Pro Bold" w:hAnsi="Adobe Caslon Pro Bold" w:cs="Adobe Caslon Pro Bold"/>
          <w:color w:val="000000"/>
          <w:sz w:val="22"/>
          <w:szCs w:val="22"/>
        </w:rPr>
        <w:t>‐</w:t>
      </w:r>
      <w:r>
        <w:rPr>
          <w:rFonts w:ascii="Arial" w:eastAsia="Arial" w:hAnsi="Arial" w:cs="Arial"/>
          <w:color w:val="000000"/>
          <w:sz w:val="22"/>
          <w:szCs w:val="22"/>
        </w:rPr>
        <w:t xml:space="preserve">stressed cowpea leaves. </w:t>
      </w:r>
      <w:r>
        <w:rPr>
          <w:rFonts w:ascii="Arial" w:eastAsia="Arial" w:hAnsi="Arial" w:cs="Arial"/>
          <w:b/>
          <w:color w:val="000000"/>
          <w:sz w:val="22"/>
          <w:szCs w:val="22"/>
        </w:rPr>
        <w:t>New Phytol</w:t>
      </w:r>
      <w:r>
        <w:rPr>
          <w:rFonts w:ascii="Arial" w:eastAsia="Arial" w:hAnsi="Arial" w:cs="Arial"/>
          <w:color w:val="000000"/>
          <w:sz w:val="22"/>
          <w:szCs w:val="22"/>
        </w:rPr>
        <w:t xml:space="preserve"> 163: 563-571</w:t>
      </w:r>
    </w:p>
    <w:p w:rsidR="00E279C2" w:rsidRDefault="00504627">
      <w:pPr>
        <w:pBdr>
          <w:top w:val="nil"/>
          <w:left w:val="nil"/>
          <w:bottom w:val="nil"/>
          <w:right w:val="nil"/>
          <w:between w:val="nil"/>
        </w:pBdr>
        <w:spacing w:after="480" w:line="480" w:lineRule="auto"/>
        <w:rPr>
          <w:rFonts w:ascii="Arial" w:eastAsia="Arial" w:hAnsi="Arial" w:cs="Arial"/>
          <w:color w:val="000000"/>
          <w:sz w:val="22"/>
          <w:szCs w:val="22"/>
        </w:rPr>
      </w:pPr>
      <w:r>
        <w:rPr>
          <w:rFonts w:ascii="Arial" w:eastAsia="Arial" w:hAnsi="Arial" w:cs="Arial"/>
          <w:color w:val="000000"/>
          <w:sz w:val="22"/>
          <w:szCs w:val="22"/>
        </w:rPr>
        <w:t xml:space="preserve">Ferrieri AP, Appel HM, Schultz JC (2015) Plant vascular architecture determines the pattern of herbivore-induced systemic responses in Arabidopsis thaliana. </w:t>
      </w:r>
      <w:r>
        <w:rPr>
          <w:rFonts w:ascii="Arial" w:eastAsia="Arial" w:hAnsi="Arial" w:cs="Arial"/>
          <w:b/>
          <w:color w:val="000000"/>
          <w:sz w:val="22"/>
          <w:szCs w:val="22"/>
        </w:rPr>
        <w:t>Plos One</w:t>
      </w:r>
      <w:r>
        <w:rPr>
          <w:rFonts w:ascii="Arial" w:eastAsia="Arial" w:hAnsi="Arial" w:cs="Arial"/>
          <w:color w:val="000000"/>
          <w:sz w:val="22"/>
          <w:szCs w:val="22"/>
        </w:rPr>
        <w:t xml:space="preserve"> 10: e0123899</w:t>
      </w:r>
    </w:p>
    <w:p w:rsidR="00E279C2" w:rsidRDefault="00504627">
      <w:pPr>
        <w:pBdr>
          <w:top w:val="nil"/>
          <w:left w:val="nil"/>
          <w:bottom w:val="nil"/>
          <w:right w:val="nil"/>
          <w:between w:val="nil"/>
        </w:pBdr>
        <w:spacing w:after="480" w:line="480" w:lineRule="auto"/>
        <w:rPr>
          <w:rFonts w:ascii="Arial" w:eastAsia="Arial" w:hAnsi="Arial" w:cs="Arial"/>
          <w:color w:val="000000"/>
          <w:sz w:val="22"/>
          <w:szCs w:val="22"/>
        </w:rPr>
      </w:pPr>
      <w:r>
        <w:rPr>
          <w:rFonts w:ascii="Arial" w:eastAsia="Arial" w:hAnsi="Arial" w:cs="Arial"/>
          <w:color w:val="000000"/>
          <w:sz w:val="22"/>
          <w:szCs w:val="22"/>
        </w:rPr>
        <w:t xml:space="preserve">Fitzpatrick CR, Agrawal AA, Basiliko N, Hastings AP, Isaac ME, Preston M, Johnson MT (2015) The importance of plant genotype and contemporary evolution for terrestrial ecosystem processes. </w:t>
      </w:r>
      <w:r>
        <w:rPr>
          <w:rFonts w:ascii="Arial" w:eastAsia="Arial" w:hAnsi="Arial" w:cs="Arial"/>
          <w:b/>
          <w:color w:val="000000"/>
          <w:sz w:val="22"/>
          <w:szCs w:val="22"/>
        </w:rPr>
        <w:t>Ecology</w:t>
      </w:r>
      <w:r>
        <w:rPr>
          <w:rFonts w:ascii="Arial" w:eastAsia="Arial" w:hAnsi="Arial" w:cs="Arial"/>
          <w:color w:val="000000"/>
          <w:sz w:val="22"/>
          <w:szCs w:val="22"/>
        </w:rPr>
        <w:t xml:space="preserve"> 96: 2632-2642</w:t>
      </w:r>
    </w:p>
    <w:p w:rsidR="00E279C2" w:rsidRDefault="00504627">
      <w:pPr>
        <w:pBdr>
          <w:top w:val="nil"/>
          <w:left w:val="nil"/>
          <w:bottom w:val="nil"/>
          <w:right w:val="nil"/>
          <w:between w:val="nil"/>
        </w:pBdr>
        <w:spacing w:after="480" w:line="480" w:lineRule="auto"/>
        <w:rPr>
          <w:rFonts w:ascii="Arial" w:eastAsia="Arial" w:hAnsi="Arial" w:cs="Arial"/>
          <w:color w:val="000000"/>
          <w:sz w:val="22"/>
          <w:szCs w:val="22"/>
        </w:rPr>
      </w:pPr>
      <w:r>
        <w:rPr>
          <w:rFonts w:ascii="Arial" w:eastAsia="Arial" w:hAnsi="Arial" w:cs="Arial"/>
          <w:color w:val="000000"/>
          <w:sz w:val="22"/>
          <w:szCs w:val="22"/>
        </w:rPr>
        <w:t xml:space="preserve">Goud PB, Kachole MS (2012) Antioxidant enzyme changes in neem, pigeonpea and mulberry leaves in two stages of maturity. </w:t>
      </w:r>
      <w:r>
        <w:rPr>
          <w:rFonts w:ascii="Arial" w:eastAsia="Arial" w:hAnsi="Arial" w:cs="Arial"/>
          <w:b/>
          <w:color w:val="000000"/>
          <w:sz w:val="22"/>
          <w:szCs w:val="22"/>
        </w:rPr>
        <w:t>Plant signaling &amp; behavior</w:t>
      </w:r>
      <w:r>
        <w:rPr>
          <w:rFonts w:ascii="Arial" w:eastAsia="Arial" w:hAnsi="Arial" w:cs="Arial"/>
          <w:color w:val="000000"/>
          <w:sz w:val="22"/>
          <w:szCs w:val="22"/>
        </w:rPr>
        <w:t xml:space="preserve"> 7: 1258-1262</w:t>
      </w:r>
    </w:p>
    <w:p w:rsidR="00447397" w:rsidRDefault="00447397">
      <w:pPr>
        <w:pBdr>
          <w:top w:val="nil"/>
          <w:left w:val="nil"/>
          <w:bottom w:val="nil"/>
          <w:right w:val="nil"/>
          <w:between w:val="nil"/>
        </w:pBdr>
        <w:spacing w:after="480" w:line="480" w:lineRule="auto"/>
        <w:rPr>
          <w:rFonts w:ascii="Arial" w:eastAsia="Arial" w:hAnsi="Arial" w:cs="Arial"/>
          <w:color w:val="000000"/>
          <w:sz w:val="22"/>
          <w:szCs w:val="22"/>
        </w:rPr>
      </w:pPr>
      <w:r w:rsidRPr="00447397">
        <w:rPr>
          <w:rFonts w:ascii="Arial" w:eastAsia="Arial" w:hAnsi="Arial" w:cs="Arial"/>
          <w:color w:val="000000"/>
          <w:sz w:val="22"/>
          <w:szCs w:val="22"/>
        </w:rPr>
        <w:t>Greenbaum D, Colangelo C, Williams K, Gerstein M.</w:t>
      </w:r>
      <w:r w:rsidRPr="00447397">
        <w:rPr>
          <w:rFonts w:ascii="Arial" w:eastAsia="Arial" w:hAnsi="Arial" w:cs="Arial"/>
          <w:b/>
          <w:bCs/>
          <w:color w:val="000000"/>
          <w:sz w:val="22"/>
          <w:szCs w:val="22"/>
        </w:rPr>
        <w:t xml:space="preserve"> </w:t>
      </w:r>
      <w:r w:rsidRPr="00447397">
        <w:rPr>
          <w:rFonts w:ascii="Arial" w:eastAsia="Arial" w:hAnsi="Arial" w:cs="Arial"/>
          <w:color w:val="000000"/>
          <w:sz w:val="22"/>
          <w:szCs w:val="22"/>
        </w:rPr>
        <w:t xml:space="preserve">2003. Comparing protein abundance and mRNA expression levels on a genomic scale. </w:t>
      </w:r>
      <w:r w:rsidRPr="00447397">
        <w:rPr>
          <w:rFonts w:ascii="Arial" w:eastAsia="Arial" w:hAnsi="Arial" w:cs="Arial"/>
          <w:b/>
          <w:color w:val="000000"/>
          <w:sz w:val="22"/>
          <w:szCs w:val="22"/>
        </w:rPr>
        <w:t>Genome biology</w:t>
      </w:r>
      <w:r w:rsidRPr="00447397">
        <w:rPr>
          <w:rFonts w:ascii="Arial" w:eastAsia="Arial" w:hAnsi="Arial" w:cs="Arial"/>
          <w:color w:val="000000"/>
          <w:sz w:val="22"/>
          <w:szCs w:val="22"/>
        </w:rPr>
        <w:t xml:space="preserve"> 4:117.</w:t>
      </w:r>
    </w:p>
    <w:p w:rsidR="00E279C2" w:rsidRDefault="00504627">
      <w:pPr>
        <w:pBdr>
          <w:top w:val="nil"/>
          <w:left w:val="nil"/>
          <w:bottom w:val="nil"/>
          <w:right w:val="nil"/>
          <w:between w:val="nil"/>
        </w:pBdr>
        <w:spacing w:after="480" w:line="480" w:lineRule="auto"/>
        <w:rPr>
          <w:rFonts w:ascii="Arial" w:eastAsia="Arial" w:hAnsi="Arial" w:cs="Arial"/>
          <w:color w:val="000000"/>
          <w:sz w:val="22"/>
          <w:szCs w:val="22"/>
        </w:rPr>
      </w:pPr>
      <w:r>
        <w:rPr>
          <w:rFonts w:ascii="Arial" w:eastAsia="Arial" w:hAnsi="Arial" w:cs="Arial"/>
          <w:color w:val="000000"/>
          <w:sz w:val="22"/>
          <w:szCs w:val="22"/>
        </w:rPr>
        <w:t>Grimplet J, Wheatley MD, Jouira HB, Deluc LG, Cramer GR, Cushman JC (2009) Proteomic and selected metabolite analysis of grape berry tissues under well</w:t>
      </w:r>
      <w:r>
        <w:rPr>
          <w:rFonts w:ascii="Adobe Caslon Pro Bold" w:eastAsia="Adobe Caslon Pro Bold" w:hAnsi="Adobe Caslon Pro Bold" w:cs="Adobe Caslon Pro Bold"/>
          <w:color w:val="000000"/>
          <w:sz w:val="22"/>
          <w:szCs w:val="22"/>
        </w:rPr>
        <w:t>‐</w:t>
      </w:r>
      <w:r>
        <w:rPr>
          <w:rFonts w:ascii="Arial" w:eastAsia="Arial" w:hAnsi="Arial" w:cs="Arial"/>
          <w:color w:val="000000"/>
          <w:sz w:val="22"/>
          <w:szCs w:val="22"/>
        </w:rPr>
        <w:t>watered and water</w:t>
      </w:r>
      <w:r>
        <w:rPr>
          <w:rFonts w:ascii="Adobe Caslon Pro Bold" w:eastAsia="Adobe Caslon Pro Bold" w:hAnsi="Adobe Caslon Pro Bold" w:cs="Adobe Caslon Pro Bold"/>
          <w:color w:val="000000"/>
          <w:sz w:val="22"/>
          <w:szCs w:val="22"/>
        </w:rPr>
        <w:t>‐</w:t>
      </w:r>
      <w:r>
        <w:rPr>
          <w:rFonts w:ascii="Arial" w:eastAsia="Arial" w:hAnsi="Arial" w:cs="Arial"/>
          <w:color w:val="000000"/>
          <w:sz w:val="22"/>
          <w:szCs w:val="22"/>
        </w:rPr>
        <w:t xml:space="preserve">deficit stress conditions. </w:t>
      </w:r>
      <w:r>
        <w:rPr>
          <w:rFonts w:ascii="Arial" w:eastAsia="Arial" w:hAnsi="Arial" w:cs="Arial"/>
          <w:b/>
          <w:color w:val="000000"/>
          <w:sz w:val="22"/>
          <w:szCs w:val="22"/>
        </w:rPr>
        <w:t>Proteomics</w:t>
      </w:r>
      <w:r>
        <w:rPr>
          <w:rFonts w:ascii="Arial" w:eastAsia="Arial" w:hAnsi="Arial" w:cs="Arial"/>
          <w:color w:val="000000"/>
          <w:sz w:val="22"/>
          <w:szCs w:val="22"/>
        </w:rPr>
        <w:t xml:space="preserve"> 9: 2503-2528</w:t>
      </w:r>
    </w:p>
    <w:p w:rsidR="00E279C2" w:rsidRDefault="00504627">
      <w:pPr>
        <w:pBdr>
          <w:top w:val="nil"/>
          <w:left w:val="nil"/>
          <w:bottom w:val="nil"/>
          <w:right w:val="nil"/>
          <w:between w:val="nil"/>
        </w:pBdr>
        <w:spacing w:after="480" w:line="480" w:lineRule="auto"/>
        <w:rPr>
          <w:rFonts w:ascii="Arial" w:eastAsia="Arial" w:hAnsi="Arial" w:cs="Arial"/>
          <w:color w:val="000000"/>
          <w:sz w:val="22"/>
          <w:szCs w:val="22"/>
        </w:rPr>
      </w:pPr>
      <w:r>
        <w:rPr>
          <w:rFonts w:ascii="Arial" w:eastAsia="Arial" w:hAnsi="Arial" w:cs="Arial"/>
          <w:color w:val="000000"/>
          <w:sz w:val="22"/>
          <w:szCs w:val="22"/>
        </w:rPr>
        <w:t xml:space="preserve">Junglee S, Urban L, Sallanon H, Lopez-Lauri F (2014) Optimized assay for hydrogen peroxide determination in plant tissue using potassium iodide. </w:t>
      </w:r>
      <w:r>
        <w:rPr>
          <w:rFonts w:ascii="Arial" w:eastAsia="Arial" w:hAnsi="Arial" w:cs="Arial"/>
          <w:b/>
          <w:color w:val="000000"/>
          <w:sz w:val="22"/>
          <w:szCs w:val="22"/>
        </w:rPr>
        <w:t>American Journal of Analytical Chemistry</w:t>
      </w:r>
      <w:r>
        <w:rPr>
          <w:rFonts w:ascii="Arial" w:eastAsia="Arial" w:hAnsi="Arial" w:cs="Arial"/>
          <w:color w:val="000000"/>
          <w:sz w:val="22"/>
          <w:szCs w:val="22"/>
        </w:rPr>
        <w:t xml:space="preserve"> 5: 730</w:t>
      </w:r>
    </w:p>
    <w:p w:rsidR="00E279C2" w:rsidRDefault="00504627">
      <w:pPr>
        <w:pBdr>
          <w:top w:val="nil"/>
          <w:left w:val="nil"/>
          <w:bottom w:val="nil"/>
          <w:right w:val="nil"/>
          <w:between w:val="nil"/>
        </w:pBdr>
        <w:spacing w:after="480" w:line="480" w:lineRule="auto"/>
        <w:rPr>
          <w:rFonts w:ascii="Arial" w:eastAsia="Arial" w:hAnsi="Arial" w:cs="Arial"/>
          <w:color w:val="000000"/>
          <w:sz w:val="22"/>
          <w:szCs w:val="22"/>
        </w:rPr>
      </w:pPr>
      <w:r>
        <w:rPr>
          <w:rFonts w:ascii="Arial" w:eastAsia="Arial" w:hAnsi="Arial" w:cs="Arial"/>
          <w:color w:val="000000"/>
          <w:sz w:val="22"/>
          <w:szCs w:val="22"/>
        </w:rPr>
        <w:lastRenderedPageBreak/>
        <w:t xml:space="preserve">Kerwin R, Feusier J, Corwin J, Rubin M, Lin C, Muok A, Larson B, Li B, Joseph B, Francisco M (2015) Natural genetic variation in Arabidopsis thaliana defense metabolism genes modulates field fitness. </w:t>
      </w:r>
      <w:r>
        <w:rPr>
          <w:rFonts w:ascii="Arial" w:eastAsia="Arial" w:hAnsi="Arial" w:cs="Arial"/>
          <w:b/>
          <w:color w:val="000000"/>
          <w:sz w:val="22"/>
          <w:szCs w:val="22"/>
        </w:rPr>
        <w:t>Elife</w:t>
      </w:r>
      <w:r w:rsidR="00684DAC">
        <w:rPr>
          <w:rFonts w:ascii="Arial" w:eastAsia="Arial" w:hAnsi="Arial" w:cs="Arial"/>
          <w:color w:val="000000"/>
          <w:sz w:val="22"/>
          <w:szCs w:val="22"/>
        </w:rPr>
        <w:t xml:space="preserve"> 4</w:t>
      </w:r>
      <w:r w:rsidR="00447397">
        <w:rPr>
          <w:rFonts w:ascii="Arial" w:eastAsia="Arial" w:hAnsi="Arial" w:cs="Arial"/>
          <w:color w:val="000000"/>
          <w:sz w:val="22"/>
          <w:szCs w:val="22"/>
        </w:rPr>
        <w:t>:</w:t>
      </w:r>
      <w:r w:rsidR="00447397" w:rsidRPr="00447397">
        <w:rPr>
          <w:rFonts w:ascii="Helvetica" w:hAnsi="Helvetica" w:cs="Helvetica"/>
        </w:rPr>
        <w:t xml:space="preserve"> </w:t>
      </w:r>
      <w:r w:rsidR="00447397" w:rsidRPr="00447397">
        <w:rPr>
          <w:rFonts w:ascii="Arial" w:eastAsia="Arial" w:hAnsi="Arial" w:cs="Arial"/>
          <w:color w:val="000000"/>
          <w:sz w:val="22"/>
          <w:szCs w:val="22"/>
        </w:rPr>
        <w:t>e05604</w:t>
      </w:r>
    </w:p>
    <w:p w:rsidR="00684DAC" w:rsidRDefault="00447397">
      <w:pPr>
        <w:pBdr>
          <w:top w:val="nil"/>
          <w:left w:val="nil"/>
          <w:bottom w:val="nil"/>
          <w:right w:val="nil"/>
          <w:between w:val="nil"/>
        </w:pBdr>
        <w:spacing w:after="480" w:line="480" w:lineRule="auto"/>
        <w:rPr>
          <w:rFonts w:ascii="Arial" w:eastAsia="Arial" w:hAnsi="Arial" w:cs="Arial"/>
          <w:color w:val="000000"/>
          <w:sz w:val="22"/>
          <w:szCs w:val="22"/>
        </w:rPr>
      </w:pPr>
      <w:r w:rsidRPr="00447397">
        <w:rPr>
          <w:rFonts w:ascii="Arial" w:eastAsia="Arial" w:hAnsi="Arial" w:cs="Arial"/>
          <w:color w:val="000000"/>
          <w:sz w:val="22"/>
          <w:szCs w:val="22"/>
        </w:rPr>
        <w:t>Maffei ME, Mithöfer A, Boland W.</w:t>
      </w:r>
      <w:r w:rsidRPr="00447397">
        <w:rPr>
          <w:rFonts w:ascii="Arial" w:eastAsia="Arial" w:hAnsi="Arial" w:cs="Arial"/>
          <w:b/>
          <w:bCs/>
          <w:color w:val="000000"/>
          <w:sz w:val="22"/>
          <w:szCs w:val="22"/>
        </w:rPr>
        <w:t xml:space="preserve"> </w:t>
      </w:r>
      <w:r w:rsidRPr="00447397">
        <w:rPr>
          <w:rFonts w:ascii="Arial" w:eastAsia="Arial" w:hAnsi="Arial" w:cs="Arial"/>
          <w:color w:val="000000"/>
          <w:sz w:val="22"/>
          <w:szCs w:val="22"/>
        </w:rPr>
        <w:t xml:space="preserve">2007. Before gene expression: early events in plant–insect interaction. </w:t>
      </w:r>
      <w:r w:rsidRPr="00447397">
        <w:rPr>
          <w:rFonts w:ascii="Arial" w:eastAsia="Arial" w:hAnsi="Arial" w:cs="Arial"/>
          <w:b/>
          <w:color w:val="000000"/>
          <w:sz w:val="22"/>
          <w:szCs w:val="22"/>
        </w:rPr>
        <w:t>Trends in plant science</w:t>
      </w:r>
      <w:r w:rsidRPr="00447397">
        <w:rPr>
          <w:rFonts w:ascii="Arial" w:eastAsia="Arial" w:hAnsi="Arial" w:cs="Arial"/>
          <w:color w:val="000000"/>
          <w:sz w:val="22"/>
          <w:szCs w:val="22"/>
        </w:rPr>
        <w:t xml:space="preserve"> 12:310-316.</w:t>
      </w:r>
    </w:p>
    <w:p w:rsidR="00684DAC" w:rsidRDefault="00684DAC">
      <w:pPr>
        <w:pBdr>
          <w:top w:val="nil"/>
          <w:left w:val="nil"/>
          <w:bottom w:val="nil"/>
          <w:right w:val="nil"/>
          <w:between w:val="nil"/>
        </w:pBdr>
        <w:spacing w:after="480" w:line="480" w:lineRule="auto"/>
        <w:rPr>
          <w:rFonts w:ascii="Arial" w:eastAsia="Arial" w:hAnsi="Arial" w:cs="Arial"/>
          <w:color w:val="000000"/>
          <w:sz w:val="22"/>
          <w:szCs w:val="22"/>
        </w:rPr>
      </w:pPr>
      <w:r w:rsidRPr="00684DAC">
        <w:rPr>
          <w:rFonts w:ascii="Arial" w:eastAsia="Arial" w:hAnsi="Arial" w:cs="Arial"/>
          <w:color w:val="000000"/>
          <w:sz w:val="22"/>
          <w:szCs w:val="22"/>
        </w:rPr>
        <w:t>Maffei ME, Arimura G-I, Mithöfer A.</w:t>
      </w:r>
      <w:r w:rsidRPr="00684DAC">
        <w:rPr>
          <w:rFonts w:ascii="Arial" w:eastAsia="Arial" w:hAnsi="Arial" w:cs="Arial"/>
          <w:b/>
          <w:bCs/>
          <w:color w:val="000000"/>
          <w:sz w:val="22"/>
          <w:szCs w:val="22"/>
        </w:rPr>
        <w:t xml:space="preserve"> </w:t>
      </w:r>
      <w:r w:rsidRPr="00684DAC">
        <w:rPr>
          <w:rFonts w:ascii="Arial" w:eastAsia="Arial" w:hAnsi="Arial" w:cs="Arial"/>
          <w:color w:val="000000"/>
          <w:sz w:val="22"/>
          <w:szCs w:val="22"/>
        </w:rPr>
        <w:t xml:space="preserve">2012. Natural elicitors, effectors and modulators of plant responses. </w:t>
      </w:r>
      <w:r w:rsidRPr="00684DAC">
        <w:rPr>
          <w:rFonts w:ascii="Arial" w:eastAsia="Arial" w:hAnsi="Arial" w:cs="Arial"/>
          <w:b/>
          <w:color w:val="000000"/>
          <w:sz w:val="22"/>
          <w:szCs w:val="22"/>
        </w:rPr>
        <w:t>Natural product reports</w:t>
      </w:r>
      <w:r w:rsidRPr="00684DAC">
        <w:rPr>
          <w:rFonts w:ascii="Arial" w:eastAsia="Arial" w:hAnsi="Arial" w:cs="Arial"/>
          <w:color w:val="000000"/>
          <w:sz w:val="22"/>
          <w:szCs w:val="22"/>
        </w:rPr>
        <w:t xml:space="preserve"> 29:1288-1303.</w:t>
      </w:r>
    </w:p>
    <w:p w:rsidR="00447397" w:rsidRDefault="00447397">
      <w:pPr>
        <w:pBdr>
          <w:top w:val="nil"/>
          <w:left w:val="nil"/>
          <w:bottom w:val="nil"/>
          <w:right w:val="nil"/>
          <w:between w:val="nil"/>
        </w:pBdr>
        <w:spacing w:after="480" w:line="480" w:lineRule="auto"/>
        <w:rPr>
          <w:rFonts w:ascii="Arial" w:eastAsia="Arial" w:hAnsi="Arial" w:cs="Arial"/>
          <w:color w:val="000000"/>
          <w:sz w:val="22"/>
          <w:szCs w:val="22"/>
        </w:rPr>
      </w:pPr>
      <w:r w:rsidRPr="00447397">
        <w:rPr>
          <w:rFonts w:ascii="Arial" w:eastAsia="Arial" w:hAnsi="Arial" w:cs="Arial"/>
          <w:color w:val="000000"/>
          <w:sz w:val="22"/>
          <w:szCs w:val="22"/>
        </w:rPr>
        <w:t>Mithöfer A, Boland W.</w:t>
      </w:r>
      <w:r w:rsidRPr="00447397">
        <w:rPr>
          <w:rFonts w:ascii="Arial" w:eastAsia="Arial" w:hAnsi="Arial" w:cs="Arial"/>
          <w:b/>
          <w:bCs/>
          <w:color w:val="000000"/>
          <w:sz w:val="22"/>
          <w:szCs w:val="22"/>
        </w:rPr>
        <w:t xml:space="preserve"> </w:t>
      </w:r>
      <w:r w:rsidRPr="00447397">
        <w:rPr>
          <w:rFonts w:ascii="Arial" w:eastAsia="Arial" w:hAnsi="Arial" w:cs="Arial"/>
          <w:color w:val="000000"/>
          <w:sz w:val="22"/>
          <w:szCs w:val="22"/>
        </w:rPr>
        <w:t xml:space="preserve">2012. Plant defense against herbivores: chemical aspects. </w:t>
      </w:r>
      <w:r w:rsidRPr="00447397">
        <w:rPr>
          <w:rFonts w:ascii="Arial" w:eastAsia="Arial" w:hAnsi="Arial" w:cs="Arial"/>
          <w:b/>
          <w:color w:val="000000"/>
          <w:sz w:val="22"/>
          <w:szCs w:val="22"/>
        </w:rPr>
        <w:t>Annual review of plant biology</w:t>
      </w:r>
      <w:r w:rsidRPr="00447397">
        <w:rPr>
          <w:rFonts w:ascii="Arial" w:eastAsia="Arial" w:hAnsi="Arial" w:cs="Arial"/>
          <w:color w:val="000000"/>
          <w:sz w:val="22"/>
          <w:szCs w:val="22"/>
        </w:rPr>
        <w:t xml:space="preserve"> 63:431-450.</w:t>
      </w:r>
    </w:p>
    <w:p w:rsidR="00E279C2" w:rsidRDefault="00504627">
      <w:pPr>
        <w:pBdr>
          <w:top w:val="nil"/>
          <w:left w:val="nil"/>
          <w:bottom w:val="nil"/>
          <w:right w:val="nil"/>
          <w:between w:val="nil"/>
        </w:pBdr>
        <w:spacing w:after="480" w:line="480" w:lineRule="auto"/>
        <w:rPr>
          <w:rFonts w:ascii="Arial" w:eastAsia="Arial" w:hAnsi="Arial" w:cs="Arial"/>
          <w:color w:val="000000"/>
          <w:sz w:val="22"/>
          <w:szCs w:val="22"/>
        </w:rPr>
      </w:pPr>
      <w:r>
        <w:rPr>
          <w:rFonts w:ascii="Arial" w:eastAsia="Arial" w:hAnsi="Arial" w:cs="Arial"/>
          <w:color w:val="000000"/>
          <w:sz w:val="22"/>
          <w:szCs w:val="22"/>
        </w:rPr>
        <w:t xml:space="preserve">Olson BJ, Markwell J (2007) Assays for determination of protein concentration. </w:t>
      </w:r>
      <w:r>
        <w:rPr>
          <w:rFonts w:ascii="Arial" w:eastAsia="Arial" w:hAnsi="Arial" w:cs="Arial"/>
          <w:b/>
          <w:color w:val="000000"/>
          <w:sz w:val="22"/>
          <w:szCs w:val="22"/>
        </w:rPr>
        <w:t>Current protocols in protein science</w:t>
      </w:r>
      <w:r>
        <w:rPr>
          <w:rFonts w:ascii="Arial" w:eastAsia="Arial" w:hAnsi="Arial" w:cs="Arial"/>
          <w:color w:val="000000"/>
          <w:sz w:val="22"/>
          <w:szCs w:val="22"/>
        </w:rPr>
        <w:t>: 3.4. 1-3.4. 29</w:t>
      </w:r>
    </w:p>
    <w:p w:rsidR="00E279C2" w:rsidRDefault="00504627">
      <w:pPr>
        <w:pBdr>
          <w:top w:val="nil"/>
          <w:left w:val="nil"/>
          <w:bottom w:val="nil"/>
          <w:right w:val="nil"/>
          <w:between w:val="nil"/>
        </w:pBdr>
        <w:spacing w:after="480" w:line="480" w:lineRule="auto"/>
        <w:rPr>
          <w:rFonts w:ascii="Arial" w:eastAsia="Arial" w:hAnsi="Arial" w:cs="Arial"/>
          <w:color w:val="000000"/>
          <w:sz w:val="22"/>
          <w:szCs w:val="22"/>
        </w:rPr>
      </w:pPr>
      <w:r>
        <w:rPr>
          <w:rFonts w:ascii="Arial" w:eastAsia="Arial" w:hAnsi="Arial" w:cs="Arial"/>
          <w:color w:val="000000"/>
          <w:sz w:val="22"/>
          <w:szCs w:val="22"/>
        </w:rPr>
        <w:t xml:space="preserve">Orians CM, Pomerleau J, Ricco R (2000) Vascular architecture generates fine scale variation in systemic induction of proteinase inhibitors in tomato. </w:t>
      </w:r>
      <w:r>
        <w:rPr>
          <w:rFonts w:ascii="Arial" w:eastAsia="Arial" w:hAnsi="Arial" w:cs="Arial"/>
          <w:b/>
          <w:color w:val="000000"/>
          <w:sz w:val="22"/>
          <w:szCs w:val="22"/>
        </w:rPr>
        <w:t>Journal of Chemical Ecology</w:t>
      </w:r>
      <w:r>
        <w:rPr>
          <w:rFonts w:ascii="Arial" w:eastAsia="Arial" w:hAnsi="Arial" w:cs="Arial"/>
          <w:color w:val="000000"/>
          <w:sz w:val="22"/>
          <w:szCs w:val="22"/>
        </w:rPr>
        <w:t xml:space="preserve"> 26: 471-485</w:t>
      </w:r>
    </w:p>
    <w:p w:rsidR="00447397" w:rsidRDefault="00447397">
      <w:pPr>
        <w:pBdr>
          <w:top w:val="nil"/>
          <w:left w:val="nil"/>
          <w:bottom w:val="nil"/>
          <w:right w:val="nil"/>
          <w:between w:val="nil"/>
        </w:pBdr>
        <w:spacing w:after="480" w:line="480" w:lineRule="auto"/>
        <w:rPr>
          <w:rFonts w:ascii="Arial" w:eastAsia="Arial" w:hAnsi="Arial" w:cs="Arial"/>
          <w:color w:val="000000"/>
          <w:sz w:val="22"/>
          <w:szCs w:val="22"/>
        </w:rPr>
      </w:pPr>
      <w:r w:rsidRPr="00447397">
        <w:rPr>
          <w:rFonts w:ascii="Arial" w:eastAsia="Arial" w:hAnsi="Arial" w:cs="Arial"/>
          <w:color w:val="000000"/>
          <w:sz w:val="22"/>
          <w:szCs w:val="22"/>
        </w:rPr>
        <w:t>Orozco-Cardenas M, Ryan CA.</w:t>
      </w:r>
      <w:r w:rsidRPr="00447397">
        <w:rPr>
          <w:rFonts w:ascii="Arial" w:eastAsia="Arial" w:hAnsi="Arial" w:cs="Arial"/>
          <w:b/>
          <w:bCs/>
          <w:color w:val="000000"/>
          <w:sz w:val="22"/>
          <w:szCs w:val="22"/>
        </w:rPr>
        <w:t xml:space="preserve"> </w:t>
      </w:r>
      <w:r w:rsidRPr="00447397">
        <w:rPr>
          <w:rFonts w:ascii="Arial" w:eastAsia="Arial" w:hAnsi="Arial" w:cs="Arial"/>
          <w:color w:val="000000"/>
          <w:sz w:val="22"/>
          <w:szCs w:val="22"/>
        </w:rPr>
        <w:t xml:space="preserve">1999. Hydrogen peroxide is generated systemically in plant leaves by wounding and systemin via the octadecanoid pathway. </w:t>
      </w:r>
      <w:r w:rsidRPr="00447397">
        <w:rPr>
          <w:rFonts w:ascii="Arial" w:eastAsia="Arial" w:hAnsi="Arial" w:cs="Arial"/>
          <w:b/>
          <w:color w:val="000000"/>
          <w:sz w:val="22"/>
          <w:szCs w:val="22"/>
        </w:rPr>
        <w:t xml:space="preserve">Proceedings of the National Academy of Sciences </w:t>
      </w:r>
      <w:r w:rsidRPr="00447397">
        <w:rPr>
          <w:rFonts w:ascii="Arial" w:eastAsia="Arial" w:hAnsi="Arial" w:cs="Arial"/>
          <w:color w:val="000000"/>
          <w:sz w:val="22"/>
          <w:szCs w:val="22"/>
        </w:rPr>
        <w:t>96:6553-6557.</w:t>
      </w:r>
    </w:p>
    <w:p w:rsidR="00E279C2" w:rsidRDefault="00504627">
      <w:pPr>
        <w:pBdr>
          <w:top w:val="nil"/>
          <w:left w:val="nil"/>
          <w:bottom w:val="nil"/>
          <w:right w:val="nil"/>
          <w:between w:val="nil"/>
        </w:pBdr>
        <w:spacing w:after="480" w:line="480" w:lineRule="auto"/>
        <w:rPr>
          <w:rFonts w:ascii="Arial" w:eastAsia="Arial" w:hAnsi="Arial" w:cs="Arial"/>
          <w:color w:val="000000"/>
          <w:sz w:val="22"/>
          <w:szCs w:val="22"/>
        </w:rPr>
      </w:pPr>
      <w:r>
        <w:rPr>
          <w:rFonts w:ascii="Arial" w:eastAsia="Arial" w:hAnsi="Arial" w:cs="Arial"/>
          <w:color w:val="000000"/>
          <w:sz w:val="22"/>
          <w:szCs w:val="22"/>
        </w:rPr>
        <w:lastRenderedPageBreak/>
        <w:t xml:space="preserve">Pande SV, Murthy MS (1994) A modified micro-Bradford procedure for elimination of interference from sodium dodecyl sulfate, other detergents, and lipids. </w:t>
      </w:r>
      <w:r>
        <w:rPr>
          <w:rFonts w:ascii="Arial" w:eastAsia="Arial" w:hAnsi="Arial" w:cs="Arial"/>
          <w:b/>
          <w:color w:val="000000"/>
          <w:sz w:val="22"/>
          <w:szCs w:val="22"/>
        </w:rPr>
        <w:t>Analytical biochemistry</w:t>
      </w:r>
      <w:r>
        <w:rPr>
          <w:rFonts w:ascii="Arial" w:eastAsia="Arial" w:hAnsi="Arial" w:cs="Arial"/>
          <w:color w:val="000000"/>
          <w:sz w:val="22"/>
          <w:szCs w:val="22"/>
        </w:rPr>
        <w:t xml:space="preserve"> 220: 424-426</w:t>
      </w:r>
    </w:p>
    <w:p w:rsidR="00CC52E5" w:rsidRDefault="00CC52E5">
      <w:pPr>
        <w:pBdr>
          <w:top w:val="nil"/>
          <w:left w:val="nil"/>
          <w:bottom w:val="nil"/>
          <w:right w:val="nil"/>
          <w:between w:val="nil"/>
        </w:pBdr>
        <w:spacing w:after="480" w:line="480" w:lineRule="auto"/>
        <w:rPr>
          <w:rFonts w:ascii="Arial" w:eastAsia="Arial" w:hAnsi="Arial" w:cs="Arial"/>
          <w:color w:val="000000"/>
          <w:sz w:val="22"/>
          <w:szCs w:val="22"/>
        </w:rPr>
      </w:pPr>
      <w:r w:rsidRPr="00CC52E5">
        <w:rPr>
          <w:rFonts w:ascii="Arial" w:eastAsia="Arial" w:hAnsi="Arial" w:cs="Arial"/>
          <w:color w:val="000000"/>
          <w:sz w:val="22"/>
          <w:szCs w:val="22"/>
        </w:rPr>
        <w:t>Peterson GL.</w:t>
      </w:r>
      <w:r w:rsidRPr="00CC52E5">
        <w:rPr>
          <w:rFonts w:ascii="Arial" w:eastAsia="Arial" w:hAnsi="Arial" w:cs="Arial"/>
          <w:b/>
          <w:bCs/>
          <w:color w:val="000000"/>
          <w:sz w:val="22"/>
          <w:szCs w:val="22"/>
        </w:rPr>
        <w:t xml:space="preserve"> </w:t>
      </w:r>
      <w:r w:rsidRPr="00CC52E5">
        <w:rPr>
          <w:rFonts w:ascii="Arial" w:eastAsia="Arial" w:hAnsi="Arial" w:cs="Arial"/>
          <w:color w:val="000000"/>
          <w:sz w:val="22"/>
          <w:szCs w:val="22"/>
        </w:rPr>
        <w:t xml:space="preserve">1977. A simplification of the protein assay method of Lowry et al. which is more generally applicable. </w:t>
      </w:r>
      <w:r w:rsidRPr="00CC52E5">
        <w:rPr>
          <w:rFonts w:ascii="Arial" w:eastAsia="Arial" w:hAnsi="Arial" w:cs="Arial"/>
          <w:b/>
          <w:color w:val="000000"/>
          <w:sz w:val="22"/>
          <w:szCs w:val="22"/>
        </w:rPr>
        <w:t>Analytical biochemistry</w:t>
      </w:r>
      <w:r w:rsidRPr="00CC52E5">
        <w:rPr>
          <w:rFonts w:ascii="Arial" w:eastAsia="Arial" w:hAnsi="Arial" w:cs="Arial"/>
          <w:color w:val="000000"/>
          <w:sz w:val="22"/>
          <w:szCs w:val="22"/>
        </w:rPr>
        <w:t xml:space="preserve"> 83:346-356.</w:t>
      </w:r>
    </w:p>
    <w:p w:rsidR="00E279C2" w:rsidRDefault="00504627">
      <w:pPr>
        <w:pBdr>
          <w:top w:val="nil"/>
          <w:left w:val="nil"/>
          <w:bottom w:val="nil"/>
          <w:right w:val="nil"/>
          <w:between w:val="nil"/>
        </w:pBdr>
        <w:spacing w:after="480" w:line="480" w:lineRule="auto"/>
        <w:rPr>
          <w:rFonts w:ascii="Arial" w:eastAsia="Arial" w:hAnsi="Arial" w:cs="Arial"/>
          <w:color w:val="000000"/>
          <w:sz w:val="22"/>
          <w:szCs w:val="22"/>
        </w:rPr>
      </w:pPr>
      <w:r>
        <w:rPr>
          <w:rFonts w:ascii="Arial" w:eastAsia="Arial" w:hAnsi="Arial" w:cs="Arial"/>
          <w:color w:val="000000"/>
          <w:sz w:val="22"/>
          <w:szCs w:val="22"/>
        </w:rPr>
        <w:t xml:space="preserve">Quan LJ, Zhang B, Shi WW, Li HY (2008) Hydrogen peroxide in plants: a versatile molecule of the reactive oxygen species network. </w:t>
      </w:r>
      <w:r>
        <w:rPr>
          <w:rFonts w:ascii="Arial" w:eastAsia="Arial" w:hAnsi="Arial" w:cs="Arial"/>
          <w:b/>
          <w:color w:val="000000"/>
          <w:sz w:val="22"/>
          <w:szCs w:val="22"/>
        </w:rPr>
        <w:t>Journal of Integrative Plant Biology</w:t>
      </w:r>
      <w:r>
        <w:rPr>
          <w:rFonts w:ascii="Arial" w:eastAsia="Arial" w:hAnsi="Arial" w:cs="Arial"/>
          <w:color w:val="000000"/>
          <w:sz w:val="22"/>
          <w:szCs w:val="22"/>
        </w:rPr>
        <w:t xml:space="preserve"> 50: 2-18</w:t>
      </w:r>
    </w:p>
    <w:p w:rsidR="00E279C2" w:rsidRDefault="00504627">
      <w:pPr>
        <w:pBdr>
          <w:top w:val="nil"/>
          <w:left w:val="nil"/>
          <w:bottom w:val="nil"/>
          <w:right w:val="nil"/>
          <w:between w:val="nil"/>
        </w:pBdr>
        <w:spacing w:after="480" w:line="480" w:lineRule="auto"/>
        <w:rPr>
          <w:rFonts w:ascii="Arial" w:eastAsia="Arial" w:hAnsi="Arial" w:cs="Arial"/>
          <w:color w:val="000000"/>
          <w:sz w:val="22"/>
          <w:szCs w:val="22"/>
        </w:rPr>
      </w:pPr>
      <w:r>
        <w:rPr>
          <w:rFonts w:ascii="Arial" w:eastAsia="Arial" w:hAnsi="Arial" w:cs="Arial"/>
          <w:color w:val="000000"/>
          <w:sz w:val="22"/>
          <w:szCs w:val="22"/>
        </w:rPr>
        <w:t>Rajalingam D, Loftis C, Xu JJ, Kumar TKS (2009) Trichloroacetic acid</w:t>
      </w:r>
      <w:r>
        <w:rPr>
          <w:rFonts w:ascii="Adobe Caslon Pro Bold" w:eastAsia="Adobe Caslon Pro Bold" w:hAnsi="Adobe Caslon Pro Bold" w:cs="Adobe Caslon Pro Bold"/>
          <w:color w:val="000000"/>
          <w:sz w:val="22"/>
          <w:szCs w:val="22"/>
        </w:rPr>
        <w:t>‐</w:t>
      </w:r>
      <w:r>
        <w:rPr>
          <w:rFonts w:ascii="Arial" w:eastAsia="Arial" w:hAnsi="Arial" w:cs="Arial"/>
          <w:color w:val="000000"/>
          <w:sz w:val="22"/>
          <w:szCs w:val="22"/>
        </w:rPr>
        <w:t xml:space="preserve">induced protein precipitation involves the reversible association of a stable partially structured intermediate. </w:t>
      </w:r>
      <w:r>
        <w:rPr>
          <w:rFonts w:ascii="Arial" w:eastAsia="Arial" w:hAnsi="Arial" w:cs="Arial"/>
          <w:b/>
          <w:color w:val="000000"/>
          <w:sz w:val="22"/>
          <w:szCs w:val="22"/>
        </w:rPr>
        <w:t>Protein science</w:t>
      </w:r>
      <w:r>
        <w:rPr>
          <w:rFonts w:ascii="Arial" w:eastAsia="Arial" w:hAnsi="Arial" w:cs="Arial"/>
          <w:color w:val="000000"/>
          <w:sz w:val="22"/>
          <w:szCs w:val="22"/>
        </w:rPr>
        <w:t xml:space="preserve"> 18: 980-993</w:t>
      </w:r>
    </w:p>
    <w:p w:rsidR="00E279C2" w:rsidRDefault="00504627">
      <w:pPr>
        <w:pBdr>
          <w:top w:val="nil"/>
          <w:left w:val="nil"/>
          <w:bottom w:val="nil"/>
          <w:right w:val="nil"/>
          <w:between w:val="nil"/>
        </w:pBdr>
        <w:spacing w:after="480" w:line="480" w:lineRule="auto"/>
        <w:rPr>
          <w:rFonts w:ascii="Arial" w:eastAsia="Arial" w:hAnsi="Arial" w:cs="Arial"/>
          <w:color w:val="000000"/>
          <w:sz w:val="22"/>
          <w:szCs w:val="22"/>
        </w:rPr>
      </w:pPr>
      <w:r>
        <w:rPr>
          <w:rFonts w:ascii="Arial" w:eastAsia="Arial" w:hAnsi="Arial" w:cs="Arial"/>
          <w:color w:val="000000"/>
          <w:sz w:val="22"/>
          <w:szCs w:val="22"/>
        </w:rPr>
        <w:t xml:space="preserve">Rajendran S, Lin I-W, Chen M-J, Chen C-Y, Yeh K-W (2014) Differential activation of sporamin expression in response to abiotic mechanical wounding and biotic herbivore attack in the sweet potato. </w:t>
      </w:r>
      <w:r>
        <w:rPr>
          <w:rFonts w:ascii="Arial" w:eastAsia="Arial" w:hAnsi="Arial" w:cs="Arial"/>
          <w:b/>
          <w:color w:val="000000"/>
          <w:sz w:val="22"/>
          <w:szCs w:val="22"/>
        </w:rPr>
        <w:t>BMC plant biology</w:t>
      </w:r>
      <w:r>
        <w:rPr>
          <w:rFonts w:ascii="Arial" w:eastAsia="Arial" w:hAnsi="Arial" w:cs="Arial"/>
          <w:color w:val="000000"/>
          <w:sz w:val="22"/>
          <w:szCs w:val="22"/>
        </w:rPr>
        <w:t xml:space="preserve"> 14: 112</w:t>
      </w:r>
    </w:p>
    <w:p w:rsidR="00E279C2" w:rsidRDefault="00504627">
      <w:pPr>
        <w:pBdr>
          <w:top w:val="nil"/>
          <w:left w:val="nil"/>
          <w:bottom w:val="nil"/>
          <w:right w:val="nil"/>
          <w:between w:val="nil"/>
        </w:pBdr>
        <w:spacing w:after="480" w:line="480" w:lineRule="auto"/>
        <w:rPr>
          <w:rFonts w:ascii="Arial" w:eastAsia="Arial" w:hAnsi="Arial" w:cs="Arial"/>
          <w:color w:val="000000"/>
          <w:sz w:val="22"/>
          <w:szCs w:val="22"/>
        </w:rPr>
      </w:pPr>
      <w:r>
        <w:rPr>
          <w:rFonts w:ascii="Arial" w:eastAsia="Arial" w:hAnsi="Arial" w:cs="Arial"/>
          <w:color w:val="000000"/>
          <w:sz w:val="22"/>
          <w:szCs w:val="22"/>
        </w:rPr>
        <w:t xml:space="preserve">Velikova V, Yordanov I, Edreva A (2000) Oxidative stress and some antioxidant systems in acid rain-treated bean plants: protective role of exogenous polyamines. </w:t>
      </w:r>
      <w:r>
        <w:rPr>
          <w:rFonts w:ascii="Arial" w:eastAsia="Arial" w:hAnsi="Arial" w:cs="Arial"/>
          <w:b/>
          <w:color w:val="000000"/>
          <w:sz w:val="22"/>
          <w:szCs w:val="22"/>
        </w:rPr>
        <w:t>Plant science</w:t>
      </w:r>
      <w:r>
        <w:rPr>
          <w:rFonts w:ascii="Arial" w:eastAsia="Arial" w:hAnsi="Arial" w:cs="Arial"/>
          <w:color w:val="000000"/>
          <w:sz w:val="22"/>
          <w:szCs w:val="22"/>
        </w:rPr>
        <w:t xml:space="preserve"> 151: 59-66</w:t>
      </w:r>
    </w:p>
    <w:p w:rsidR="00E279C2" w:rsidRDefault="00504627">
      <w:pPr>
        <w:pBdr>
          <w:top w:val="nil"/>
          <w:left w:val="nil"/>
          <w:bottom w:val="nil"/>
          <w:right w:val="nil"/>
          <w:between w:val="nil"/>
        </w:pBdr>
        <w:spacing w:after="480" w:line="480" w:lineRule="auto"/>
        <w:rPr>
          <w:rFonts w:ascii="Arial" w:eastAsia="Arial" w:hAnsi="Arial" w:cs="Arial"/>
          <w:color w:val="000000"/>
          <w:sz w:val="22"/>
          <w:szCs w:val="22"/>
        </w:rPr>
      </w:pPr>
      <w:r>
        <w:rPr>
          <w:rFonts w:ascii="Arial" w:eastAsia="Arial" w:hAnsi="Arial" w:cs="Arial"/>
          <w:color w:val="000000"/>
          <w:sz w:val="22"/>
          <w:szCs w:val="22"/>
        </w:rPr>
        <w:t xml:space="preserve">War AR, Paulraj MG, War MY, Ignacimuthu S (2011) Herbivore-and elicitor-induced resistance in groundnut to Asian armyworm, </w:t>
      </w:r>
      <w:r w:rsidRPr="00D81EFA">
        <w:rPr>
          <w:rFonts w:ascii="Arial" w:eastAsia="Arial" w:hAnsi="Arial" w:cs="Arial"/>
          <w:i/>
          <w:color w:val="000000"/>
          <w:sz w:val="22"/>
          <w:szCs w:val="22"/>
        </w:rPr>
        <w:t>Spodoptera litura</w:t>
      </w:r>
      <w:r>
        <w:rPr>
          <w:rFonts w:ascii="Arial" w:eastAsia="Arial" w:hAnsi="Arial" w:cs="Arial"/>
          <w:color w:val="000000"/>
          <w:sz w:val="22"/>
          <w:szCs w:val="22"/>
        </w:rPr>
        <w:t xml:space="preserve"> (Fab.)</w:t>
      </w:r>
      <w:r w:rsidR="00D81EFA">
        <w:rPr>
          <w:rFonts w:ascii="Arial" w:eastAsia="Arial" w:hAnsi="Arial" w:cs="Arial"/>
          <w:color w:val="000000"/>
          <w:sz w:val="22"/>
          <w:szCs w:val="22"/>
        </w:rPr>
        <w:t xml:space="preserve"> </w:t>
      </w:r>
      <w:r>
        <w:rPr>
          <w:rFonts w:ascii="Arial" w:eastAsia="Arial" w:hAnsi="Arial" w:cs="Arial"/>
          <w:color w:val="000000"/>
          <w:sz w:val="22"/>
          <w:szCs w:val="22"/>
        </w:rPr>
        <w:t>(</w:t>
      </w:r>
      <w:r w:rsidRPr="00D81EFA">
        <w:rPr>
          <w:rFonts w:ascii="Arial" w:eastAsia="Arial" w:hAnsi="Arial" w:cs="Arial"/>
          <w:i/>
          <w:color w:val="000000"/>
          <w:sz w:val="22"/>
          <w:szCs w:val="22"/>
        </w:rPr>
        <w:t>Lepidoptera: Noctuidae</w:t>
      </w:r>
      <w:r>
        <w:rPr>
          <w:rFonts w:ascii="Arial" w:eastAsia="Arial" w:hAnsi="Arial" w:cs="Arial"/>
          <w:color w:val="000000"/>
          <w:sz w:val="22"/>
          <w:szCs w:val="22"/>
        </w:rPr>
        <w:t xml:space="preserve">). </w:t>
      </w:r>
      <w:r>
        <w:rPr>
          <w:rFonts w:ascii="Arial" w:eastAsia="Arial" w:hAnsi="Arial" w:cs="Arial"/>
          <w:b/>
          <w:color w:val="000000"/>
          <w:sz w:val="22"/>
          <w:szCs w:val="22"/>
        </w:rPr>
        <w:t>Plant signaling &amp; behavior</w:t>
      </w:r>
      <w:r>
        <w:rPr>
          <w:rFonts w:ascii="Arial" w:eastAsia="Arial" w:hAnsi="Arial" w:cs="Arial"/>
          <w:color w:val="000000"/>
          <w:sz w:val="22"/>
          <w:szCs w:val="22"/>
        </w:rPr>
        <w:t xml:space="preserve"> 6: 1769-1777</w:t>
      </w:r>
    </w:p>
    <w:p w:rsidR="00447397" w:rsidRDefault="00447397">
      <w:pPr>
        <w:pBdr>
          <w:top w:val="nil"/>
          <w:left w:val="nil"/>
          <w:bottom w:val="nil"/>
          <w:right w:val="nil"/>
          <w:between w:val="nil"/>
        </w:pBdr>
        <w:spacing w:after="480" w:line="480" w:lineRule="auto"/>
        <w:rPr>
          <w:rFonts w:ascii="Arial" w:eastAsia="Arial" w:hAnsi="Arial" w:cs="Arial"/>
          <w:color w:val="000000"/>
          <w:sz w:val="22"/>
          <w:szCs w:val="22"/>
        </w:rPr>
      </w:pPr>
      <w:r w:rsidRPr="00447397">
        <w:rPr>
          <w:rFonts w:ascii="Arial" w:eastAsia="Arial" w:hAnsi="Arial" w:cs="Arial"/>
          <w:color w:val="000000"/>
          <w:sz w:val="22"/>
          <w:szCs w:val="22"/>
        </w:rPr>
        <w:lastRenderedPageBreak/>
        <w:t>War AR, Paulraj MG, Ahmad T, Buhroo AA, Hussain B, Ignacimuthu S, Sharma HC.</w:t>
      </w:r>
      <w:r w:rsidRPr="00447397">
        <w:rPr>
          <w:rFonts w:ascii="Arial" w:eastAsia="Arial" w:hAnsi="Arial" w:cs="Arial"/>
          <w:b/>
          <w:bCs/>
          <w:color w:val="000000"/>
          <w:sz w:val="22"/>
          <w:szCs w:val="22"/>
        </w:rPr>
        <w:t xml:space="preserve"> </w:t>
      </w:r>
      <w:r w:rsidRPr="00447397">
        <w:rPr>
          <w:rFonts w:ascii="Arial" w:eastAsia="Arial" w:hAnsi="Arial" w:cs="Arial"/>
          <w:color w:val="000000"/>
          <w:sz w:val="22"/>
          <w:szCs w:val="22"/>
        </w:rPr>
        <w:t xml:space="preserve">2012. Mechanisms of plant defense against insect herbivores. </w:t>
      </w:r>
      <w:r w:rsidRPr="00447397">
        <w:rPr>
          <w:rFonts w:ascii="Arial" w:eastAsia="Arial" w:hAnsi="Arial" w:cs="Arial"/>
          <w:b/>
          <w:color w:val="000000"/>
          <w:sz w:val="22"/>
          <w:szCs w:val="22"/>
        </w:rPr>
        <w:t>Plant signaling &amp; behavior</w:t>
      </w:r>
      <w:r w:rsidRPr="00447397">
        <w:rPr>
          <w:rFonts w:ascii="Arial" w:eastAsia="Arial" w:hAnsi="Arial" w:cs="Arial"/>
          <w:color w:val="000000"/>
          <w:sz w:val="22"/>
          <w:szCs w:val="22"/>
        </w:rPr>
        <w:t xml:space="preserve"> 7:1306-1320.</w:t>
      </w:r>
    </w:p>
    <w:p w:rsidR="00E279C2" w:rsidRDefault="00504627">
      <w:pPr>
        <w:pBdr>
          <w:top w:val="nil"/>
          <w:left w:val="nil"/>
          <w:bottom w:val="nil"/>
          <w:right w:val="nil"/>
          <w:between w:val="nil"/>
        </w:pBdr>
        <w:spacing w:after="480" w:line="480" w:lineRule="auto"/>
        <w:rPr>
          <w:rFonts w:ascii="Arial" w:eastAsia="Arial" w:hAnsi="Arial" w:cs="Arial"/>
          <w:color w:val="000000"/>
          <w:sz w:val="22"/>
          <w:szCs w:val="22"/>
        </w:rPr>
      </w:pPr>
      <w:r>
        <w:rPr>
          <w:rFonts w:ascii="Arial" w:eastAsia="Arial" w:hAnsi="Arial" w:cs="Arial"/>
          <w:color w:val="000000"/>
          <w:sz w:val="22"/>
          <w:szCs w:val="22"/>
        </w:rPr>
        <w:t xml:space="preserve">Whitham TG (1983) Host manipulation of parasites: within-plant variation as a defense against rapidly evolving pests. </w:t>
      </w:r>
      <w:r>
        <w:rPr>
          <w:rFonts w:ascii="Arial" w:eastAsia="Arial" w:hAnsi="Arial" w:cs="Arial"/>
          <w:b/>
          <w:color w:val="000000"/>
          <w:sz w:val="22"/>
          <w:szCs w:val="22"/>
        </w:rPr>
        <w:t>Variable plants and herbivores in natural and managed systems</w:t>
      </w:r>
      <w:r>
        <w:rPr>
          <w:rFonts w:ascii="Arial" w:eastAsia="Arial" w:hAnsi="Arial" w:cs="Arial"/>
          <w:color w:val="000000"/>
          <w:sz w:val="22"/>
          <w:szCs w:val="22"/>
        </w:rPr>
        <w:t>: 15-41</w:t>
      </w:r>
    </w:p>
    <w:p w:rsidR="00E279C2" w:rsidRDefault="00504627">
      <w:pPr>
        <w:pBdr>
          <w:top w:val="nil"/>
          <w:left w:val="nil"/>
          <w:bottom w:val="nil"/>
          <w:right w:val="nil"/>
          <w:between w:val="nil"/>
        </w:pBdr>
        <w:spacing w:after="480" w:line="480" w:lineRule="auto"/>
        <w:rPr>
          <w:rFonts w:ascii="Arial" w:eastAsia="Arial" w:hAnsi="Arial" w:cs="Arial"/>
          <w:color w:val="000000"/>
          <w:sz w:val="22"/>
          <w:szCs w:val="22"/>
        </w:rPr>
      </w:pPr>
      <w:r>
        <w:rPr>
          <w:rFonts w:ascii="Arial" w:eastAsia="Arial" w:hAnsi="Arial" w:cs="Arial"/>
          <w:color w:val="000000"/>
          <w:sz w:val="22"/>
          <w:szCs w:val="22"/>
        </w:rPr>
        <w:t>Winn AA (1996) Adaptation to fine</w:t>
      </w:r>
      <w:r>
        <w:rPr>
          <w:rFonts w:ascii="Adobe Caslon Pro Bold" w:eastAsia="Adobe Caslon Pro Bold" w:hAnsi="Adobe Caslon Pro Bold" w:cs="Adobe Caslon Pro Bold"/>
          <w:color w:val="000000"/>
          <w:sz w:val="22"/>
          <w:szCs w:val="22"/>
        </w:rPr>
        <w:t>‐</w:t>
      </w:r>
      <w:r>
        <w:rPr>
          <w:rFonts w:ascii="Arial" w:eastAsia="Arial" w:hAnsi="Arial" w:cs="Arial"/>
          <w:color w:val="000000"/>
          <w:sz w:val="22"/>
          <w:szCs w:val="22"/>
        </w:rPr>
        <w:t>grained environmental variation: an analysis of within</w:t>
      </w:r>
      <w:r>
        <w:rPr>
          <w:rFonts w:ascii="Adobe Caslon Pro Bold" w:eastAsia="Adobe Caslon Pro Bold" w:hAnsi="Adobe Caslon Pro Bold" w:cs="Adobe Caslon Pro Bold"/>
          <w:color w:val="000000"/>
          <w:sz w:val="22"/>
          <w:szCs w:val="22"/>
        </w:rPr>
        <w:t>‐</w:t>
      </w:r>
      <w:r>
        <w:rPr>
          <w:rFonts w:ascii="Arial" w:eastAsia="Arial" w:hAnsi="Arial" w:cs="Arial"/>
          <w:color w:val="000000"/>
          <w:sz w:val="22"/>
          <w:szCs w:val="22"/>
        </w:rPr>
        <w:t xml:space="preserve">individual leaf variation in an annual plant. </w:t>
      </w:r>
      <w:r>
        <w:rPr>
          <w:rFonts w:ascii="Arial" w:eastAsia="Arial" w:hAnsi="Arial" w:cs="Arial"/>
          <w:b/>
          <w:color w:val="000000"/>
          <w:sz w:val="22"/>
          <w:szCs w:val="22"/>
        </w:rPr>
        <w:t>Evolution</w:t>
      </w:r>
      <w:r>
        <w:rPr>
          <w:rFonts w:ascii="Arial" w:eastAsia="Arial" w:hAnsi="Arial" w:cs="Arial"/>
          <w:color w:val="000000"/>
          <w:sz w:val="22"/>
          <w:szCs w:val="22"/>
        </w:rPr>
        <w:t xml:space="preserve"> 50: 1111-1118</w:t>
      </w:r>
    </w:p>
    <w:p w:rsidR="00684DAC" w:rsidRDefault="00684DAC">
      <w:pPr>
        <w:pBdr>
          <w:top w:val="nil"/>
          <w:left w:val="nil"/>
          <w:bottom w:val="nil"/>
          <w:right w:val="nil"/>
          <w:between w:val="nil"/>
        </w:pBdr>
        <w:spacing w:after="480" w:line="480" w:lineRule="auto"/>
        <w:rPr>
          <w:rFonts w:ascii="Arial" w:eastAsia="Arial" w:hAnsi="Arial" w:cs="Arial"/>
          <w:color w:val="000000"/>
          <w:sz w:val="22"/>
          <w:szCs w:val="22"/>
        </w:rPr>
      </w:pPr>
      <w:r w:rsidRPr="00684DAC">
        <w:rPr>
          <w:rFonts w:ascii="Arial" w:eastAsia="Arial" w:hAnsi="Arial" w:cs="Arial"/>
          <w:color w:val="000000"/>
          <w:sz w:val="22"/>
          <w:szCs w:val="22"/>
        </w:rPr>
        <w:t>Zebelo SA, Maffei ME.</w:t>
      </w:r>
      <w:r w:rsidRPr="00684DAC">
        <w:rPr>
          <w:rFonts w:ascii="Arial" w:eastAsia="Arial" w:hAnsi="Arial" w:cs="Arial"/>
          <w:b/>
          <w:bCs/>
          <w:color w:val="000000"/>
          <w:sz w:val="22"/>
          <w:szCs w:val="22"/>
        </w:rPr>
        <w:t xml:space="preserve"> </w:t>
      </w:r>
      <w:r w:rsidRPr="00684DAC">
        <w:rPr>
          <w:rFonts w:ascii="Arial" w:eastAsia="Arial" w:hAnsi="Arial" w:cs="Arial"/>
          <w:color w:val="000000"/>
          <w:sz w:val="22"/>
          <w:szCs w:val="22"/>
        </w:rPr>
        <w:t xml:space="preserve">2015. Role of early signalling events in plant–insect interactions. </w:t>
      </w:r>
      <w:r w:rsidRPr="00684DAC">
        <w:rPr>
          <w:rFonts w:ascii="Arial" w:eastAsia="Arial" w:hAnsi="Arial" w:cs="Arial"/>
          <w:b/>
          <w:color w:val="000000"/>
          <w:sz w:val="22"/>
          <w:szCs w:val="22"/>
        </w:rPr>
        <w:t>Journal of Experimental Botany</w:t>
      </w:r>
      <w:r w:rsidRPr="00684DAC">
        <w:rPr>
          <w:rFonts w:ascii="Arial" w:eastAsia="Arial" w:hAnsi="Arial" w:cs="Arial"/>
          <w:color w:val="000000"/>
          <w:sz w:val="22"/>
          <w:szCs w:val="22"/>
        </w:rPr>
        <w:t xml:space="preserve"> 66:435-448.</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 xml:space="preserve">Zhang S-D, Gant TW (2005) Effect of pooling samples on the efficiency of comparative studies using microarrays. </w:t>
      </w:r>
      <w:r>
        <w:rPr>
          <w:rFonts w:ascii="Arial" w:eastAsia="Arial" w:hAnsi="Arial" w:cs="Arial"/>
          <w:b/>
          <w:color w:val="000000"/>
          <w:sz w:val="22"/>
          <w:szCs w:val="22"/>
        </w:rPr>
        <w:t>Bioinformatics</w:t>
      </w:r>
      <w:r>
        <w:rPr>
          <w:rFonts w:ascii="Arial" w:eastAsia="Arial" w:hAnsi="Arial" w:cs="Arial"/>
          <w:color w:val="000000"/>
          <w:sz w:val="22"/>
          <w:szCs w:val="22"/>
        </w:rPr>
        <w:t xml:space="preserve"> 21: 4378-4383</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b/>
          <w:color w:val="000000"/>
          <w:sz w:val="22"/>
          <w:szCs w:val="22"/>
        </w:rPr>
      </w:pPr>
      <w:r>
        <w:rPr>
          <w:rFonts w:ascii="Arial" w:eastAsia="Arial" w:hAnsi="Arial" w:cs="Arial"/>
          <w:b/>
          <w:color w:val="000000"/>
          <w:sz w:val="22"/>
          <w:szCs w:val="22"/>
        </w:rPr>
        <w:t xml:space="preserve">Tables </w:t>
      </w:r>
    </w:p>
    <w:p w:rsidR="00E279C2" w:rsidRDefault="00504627">
      <w:pPr>
        <w:pBdr>
          <w:top w:val="nil"/>
          <w:left w:val="nil"/>
          <w:bottom w:val="nil"/>
          <w:right w:val="nil"/>
          <w:between w:val="nil"/>
        </w:pBdr>
        <w:spacing w:line="480" w:lineRule="auto"/>
        <w:rPr>
          <w:rFonts w:ascii="Arial" w:eastAsia="Arial" w:hAnsi="Arial" w:cs="Arial"/>
          <w:b/>
          <w:sz w:val="22"/>
          <w:szCs w:val="22"/>
        </w:rPr>
      </w:pPr>
      <w:r>
        <w:rPr>
          <w:rFonts w:ascii="Arial" w:eastAsia="Arial" w:hAnsi="Arial" w:cs="Arial"/>
          <w:b/>
          <w:color w:val="000000"/>
          <w:sz w:val="22"/>
          <w:szCs w:val="22"/>
        </w:rPr>
        <w:t xml:space="preserve">Table </w:t>
      </w:r>
      <w:r>
        <w:rPr>
          <w:rFonts w:ascii="Arial" w:eastAsia="Arial" w:hAnsi="Arial" w:cs="Arial"/>
          <w:b/>
          <w:sz w:val="22"/>
          <w:szCs w:val="22"/>
        </w:rPr>
        <w:t xml:space="preserve">1. </w:t>
      </w:r>
      <w:r>
        <w:rPr>
          <w:rFonts w:ascii="Arial" w:eastAsia="Arial" w:hAnsi="Arial" w:cs="Arial"/>
          <w:sz w:val="22"/>
          <w:szCs w:val="22"/>
        </w:rPr>
        <w:t xml:space="preserve">ANOVA table comparing absorbance values of </w:t>
      </w:r>
      <w:r>
        <w:rPr>
          <w:rFonts w:ascii="Arial" w:eastAsia="Arial" w:hAnsi="Arial" w:cs="Arial"/>
          <w:i/>
          <w:sz w:val="22"/>
          <w:szCs w:val="22"/>
        </w:rPr>
        <w:t>Solanum lycopersicum</w:t>
      </w:r>
      <w:r>
        <w:rPr>
          <w:rFonts w:ascii="Arial" w:eastAsia="Arial" w:hAnsi="Arial" w:cs="Arial"/>
          <w:sz w:val="22"/>
          <w:szCs w:val="22"/>
        </w:rPr>
        <w:t xml:space="preserve"> tissue samples pre- and post- herbivory and show that there is significant variation between plants of the same ecotype that were grown in the same environment.</w:t>
      </w:r>
    </w:p>
    <w:tbl>
      <w:tblPr>
        <w:tblStyle w:val="a"/>
        <w:tblW w:w="8840" w:type="dxa"/>
        <w:tblLayout w:type="fixed"/>
        <w:tblLook w:val="0400" w:firstRow="0" w:lastRow="0" w:firstColumn="0" w:lastColumn="0" w:noHBand="0" w:noVBand="1"/>
      </w:tblPr>
      <w:tblGrid>
        <w:gridCol w:w="1617"/>
        <w:gridCol w:w="1543"/>
        <w:gridCol w:w="1080"/>
        <w:gridCol w:w="1300"/>
        <w:gridCol w:w="1400"/>
        <w:gridCol w:w="1020"/>
        <w:gridCol w:w="880"/>
      </w:tblGrid>
      <w:tr w:rsidR="00E279C2">
        <w:trPr>
          <w:trHeight w:val="420"/>
        </w:trPr>
        <w:tc>
          <w:tcPr>
            <w:tcW w:w="161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E279C2">
            <w:pPr>
              <w:pBdr>
                <w:top w:val="nil"/>
                <w:left w:val="nil"/>
                <w:bottom w:val="nil"/>
                <w:right w:val="nil"/>
                <w:between w:val="nil"/>
              </w:pBdr>
              <w:rPr>
                <w:rFonts w:ascii="Arial" w:eastAsia="Arial" w:hAnsi="Arial" w:cs="Arial"/>
                <w:color w:val="000000"/>
                <w:sz w:val="22"/>
                <w:szCs w:val="22"/>
              </w:rPr>
            </w:pPr>
          </w:p>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Assay</w:t>
            </w:r>
          </w:p>
        </w:tc>
        <w:tc>
          <w:tcPr>
            <w:tcW w:w="3923" w:type="dxa"/>
            <w:gridSpan w:val="3"/>
            <w:tcBorders>
              <w:top w:val="single" w:sz="8" w:space="0" w:color="000000"/>
              <w:left w:val="single" w:sz="8" w:space="0" w:color="000000"/>
              <w:bottom w:val="single" w:sz="8" w:space="0" w:color="000000"/>
              <w:right w:val="single" w:sz="8" w:space="0" w:color="000000"/>
            </w:tcBorders>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Pre-herbivory</w:t>
            </w:r>
          </w:p>
        </w:tc>
        <w:tc>
          <w:tcPr>
            <w:tcW w:w="1400" w:type="dxa"/>
            <w:tcBorders>
              <w:top w:val="single" w:sz="8" w:space="0" w:color="000000"/>
              <w:left w:val="single" w:sz="8" w:space="0" w:color="000000"/>
              <w:bottom w:val="single" w:sz="8" w:space="0" w:color="000000"/>
              <w:right w:val="single" w:sz="8" w:space="0" w:color="000000"/>
            </w:tcBorders>
          </w:tcPr>
          <w:p w:rsidR="00E279C2" w:rsidRDefault="00E279C2">
            <w:pPr>
              <w:pBdr>
                <w:top w:val="nil"/>
                <w:left w:val="nil"/>
                <w:bottom w:val="nil"/>
                <w:right w:val="nil"/>
                <w:between w:val="nil"/>
              </w:pBdr>
              <w:jc w:val="center"/>
              <w:rPr>
                <w:rFonts w:ascii="Arial" w:eastAsia="Arial" w:hAnsi="Arial" w:cs="Arial"/>
                <w:b/>
                <w:color w:val="000000"/>
                <w:sz w:val="22"/>
                <w:szCs w:val="22"/>
              </w:rPr>
            </w:pPr>
          </w:p>
        </w:tc>
        <w:tc>
          <w:tcPr>
            <w:tcW w:w="19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Post-herbivory</w:t>
            </w:r>
          </w:p>
        </w:tc>
      </w:tr>
      <w:tr w:rsidR="00E279C2">
        <w:trPr>
          <w:trHeight w:val="420"/>
        </w:trPr>
        <w:tc>
          <w:tcPr>
            <w:tcW w:w="1617"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E279C2">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Variation explained by plant</w:t>
            </w:r>
          </w:p>
        </w:tc>
        <w:tc>
          <w:tcPr>
            <w:tcW w:w="1080" w:type="dxa"/>
            <w:tcBorders>
              <w:top w:val="single" w:sz="8" w:space="0" w:color="000000"/>
              <w:left w:val="single" w:sz="8" w:space="0" w:color="000000"/>
              <w:bottom w:val="single" w:sz="8" w:space="0" w:color="000000"/>
              <w:right w:val="single" w:sz="8" w:space="0" w:color="000000"/>
            </w:tcBorders>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F stat</w:t>
            </w:r>
          </w:p>
        </w:tc>
        <w:tc>
          <w:tcPr>
            <w:tcW w:w="1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jc w:val="center"/>
              <w:rPr>
                <w:rFonts w:ascii="Arial" w:eastAsia="Arial" w:hAnsi="Arial" w:cs="Arial"/>
                <w:i/>
                <w:color w:val="000000"/>
                <w:sz w:val="22"/>
                <w:szCs w:val="22"/>
              </w:rPr>
            </w:pPr>
            <w:r>
              <w:rPr>
                <w:rFonts w:ascii="Arial" w:eastAsia="Arial" w:hAnsi="Arial" w:cs="Arial"/>
                <w:i/>
                <w:color w:val="000000"/>
                <w:sz w:val="22"/>
                <w:szCs w:val="22"/>
              </w:rPr>
              <w:t>p</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Variation explained by plant</w:t>
            </w:r>
          </w:p>
        </w:tc>
        <w:tc>
          <w:tcPr>
            <w:tcW w:w="1020" w:type="dxa"/>
            <w:tcBorders>
              <w:top w:val="single" w:sz="8" w:space="0" w:color="000000"/>
              <w:left w:val="single" w:sz="8" w:space="0" w:color="000000"/>
              <w:bottom w:val="single" w:sz="8" w:space="0" w:color="000000"/>
              <w:right w:val="single" w:sz="8" w:space="0" w:color="000000"/>
            </w:tcBorders>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F stat</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jc w:val="center"/>
              <w:rPr>
                <w:rFonts w:ascii="Arial" w:eastAsia="Arial" w:hAnsi="Arial" w:cs="Arial"/>
                <w:i/>
                <w:color w:val="000000"/>
                <w:sz w:val="22"/>
                <w:szCs w:val="22"/>
              </w:rPr>
            </w:pPr>
            <w:r>
              <w:rPr>
                <w:rFonts w:ascii="Arial" w:eastAsia="Arial" w:hAnsi="Arial" w:cs="Arial"/>
                <w:i/>
                <w:color w:val="000000"/>
                <w:sz w:val="22"/>
                <w:szCs w:val="22"/>
              </w:rPr>
              <w:t>p</w:t>
            </w:r>
          </w:p>
        </w:tc>
      </w:tr>
      <w:tr w:rsidR="00E279C2">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Protein </w:t>
            </w:r>
            <w:r>
              <w:rPr>
                <w:rFonts w:ascii="Arial" w:eastAsia="Arial" w:hAnsi="Arial" w:cs="Arial"/>
                <w:color w:val="000000"/>
                <w:sz w:val="22"/>
                <w:szCs w:val="22"/>
              </w:rPr>
              <w:lastRenderedPageBreak/>
              <w:t>Quantification</w:t>
            </w:r>
          </w:p>
        </w:tc>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lastRenderedPageBreak/>
              <w:t>95.8%</w:t>
            </w:r>
          </w:p>
        </w:tc>
        <w:tc>
          <w:tcPr>
            <w:tcW w:w="1080" w:type="dxa"/>
            <w:tcBorders>
              <w:top w:val="single" w:sz="8" w:space="0" w:color="000000"/>
              <w:left w:val="single" w:sz="8" w:space="0" w:color="000000"/>
              <w:bottom w:val="single" w:sz="8" w:space="0" w:color="000000"/>
              <w:right w:val="single" w:sz="8" w:space="0" w:color="000000"/>
            </w:tcBorders>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80.42</w:t>
            </w:r>
          </w:p>
        </w:tc>
        <w:tc>
          <w:tcPr>
            <w:tcW w:w="1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&lt;0.001</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99.9%</w:t>
            </w:r>
          </w:p>
        </w:tc>
        <w:tc>
          <w:tcPr>
            <w:tcW w:w="1020" w:type="dxa"/>
            <w:tcBorders>
              <w:top w:val="single" w:sz="8" w:space="0" w:color="000000"/>
              <w:left w:val="single" w:sz="8" w:space="0" w:color="000000"/>
              <w:bottom w:val="single" w:sz="8" w:space="0" w:color="000000"/>
              <w:right w:val="single" w:sz="8" w:space="0" w:color="000000"/>
            </w:tcBorders>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3753</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&lt;0.001</w:t>
            </w:r>
          </w:p>
        </w:tc>
      </w:tr>
      <w:tr w:rsidR="00E279C2">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w:t>
            </w:r>
            <w:r>
              <w:rPr>
                <w:rFonts w:ascii="Arial" w:eastAsia="Arial" w:hAnsi="Arial" w:cs="Arial"/>
                <w:color w:val="000000"/>
                <w:sz w:val="22"/>
                <w:szCs w:val="22"/>
                <w:vertAlign w:val="subscript"/>
              </w:rPr>
              <w:t>2</w:t>
            </w:r>
            <w:r>
              <w:rPr>
                <w:rFonts w:ascii="Arial" w:eastAsia="Arial" w:hAnsi="Arial" w:cs="Arial"/>
                <w:color w:val="000000"/>
                <w:sz w:val="22"/>
                <w:szCs w:val="22"/>
              </w:rPr>
              <w:t>O</w:t>
            </w:r>
            <w:r>
              <w:rPr>
                <w:rFonts w:ascii="Arial" w:eastAsia="Arial" w:hAnsi="Arial" w:cs="Arial"/>
                <w:color w:val="000000"/>
                <w:sz w:val="22"/>
                <w:szCs w:val="22"/>
                <w:vertAlign w:val="subscript"/>
              </w:rPr>
              <w:t>2</w:t>
            </w:r>
          </w:p>
        </w:tc>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0%</w:t>
            </w:r>
          </w:p>
        </w:tc>
        <w:tc>
          <w:tcPr>
            <w:tcW w:w="1080" w:type="dxa"/>
            <w:tcBorders>
              <w:top w:val="single" w:sz="8" w:space="0" w:color="000000"/>
              <w:left w:val="single" w:sz="8" w:space="0" w:color="000000"/>
              <w:bottom w:val="single" w:sz="8" w:space="0" w:color="000000"/>
              <w:right w:val="single" w:sz="8" w:space="0" w:color="000000"/>
            </w:tcBorders>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0.911</w:t>
            </w:r>
          </w:p>
        </w:tc>
        <w:tc>
          <w:tcPr>
            <w:tcW w:w="1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0.404</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99.98%</w:t>
            </w:r>
          </w:p>
        </w:tc>
        <w:tc>
          <w:tcPr>
            <w:tcW w:w="1020" w:type="dxa"/>
            <w:tcBorders>
              <w:top w:val="single" w:sz="8" w:space="0" w:color="000000"/>
              <w:left w:val="single" w:sz="8" w:space="0" w:color="000000"/>
              <w:bottom w:val="single" w:sz="8" w:space="0" w:color="000000"/>
              <w:right w:val="single" w:sz="8" w:space="0" w:color="000000"/>
            </w:tcBorders>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1.476e</w:t>
            </w:r>
            <w:r>
              <w:rPr>
                <w:rFonts w:ascii="Arial" w:eastAsia="Arial" w:hAnsi="Arial" w:cs="Arial"/>
                <w:color w:val="000000"/>
                <w:sz w:val="22"/>
                <w:szCs w:val="22"/>
                <w:vertAlign w:val="superscript"/>
              </w:rPr>
              <w:t>4</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&lt;0.001</w:t>
            </w:r>
          </w:p>
        </w:tc>
      </w:tr>
      <w:tr w:rsidR="00E279C2">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POD</w:t>
            </w:r>
          </w:p>
        </w:tc>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51.7%</w:t>
            </w:r>
          </w:p>
        </w:tc>
        <w:tc>
          <w:tcPr>
            <w:tcW w:w="1080" w:type="dxa"/>
            <w:tcBorders>
              <w:top w:val="single" w:sz="8" w:space="0" w:color="000000"/>
              <w:left w:val="single" w:sz="8" w:space="0" w:color="000000"/>
              <w:bottom w:val="single" w:sz="8" w:space="0" w:color="000000"/>
              <w:right w:val="single" w:sz="8" w:space="0" w:color="000000"/>
            </w:tcBorders>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6.076</w:t>
            </w:r>
          </w:p>
        </w:tc>
        <w:tc>
          <w:tcPr>
            <w:tcW w:w="1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&lt;0.01</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37.8%</w:t>
            </w:r>
          </w:p>
        </w:tc>
        <w:tc>
          <w:tcPr>
            <w:tcW w:w="1020" w:type="dxa"/>
            <w:tcBorders>
              <w:top w:val="single" w:sz="8" w:space="0" w:color="000000"/>
              <w:left w:val="single" w:sz="8" w:space="0" w:color="000000"/>
              <w:bottom w:val="single" w:sz="8" w:space="0" w:color="000000"/>
              <w:right w:val="single" w:sz="8" w:space="0" w:color="000000"/>
            </w:tcBorders>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3.887</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&lt;0.05</w:t>
            </w:r>
          </w:p>
        </w:tc>
      </w:tr>
      <w:tr w:rsidR="00E279C2">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PPO</w:t>
            </w:r>
          </w:p>
        </w:tc>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70.1%</w:t>
            </w:r>
          </w:p>
        </w:tc>
        <w:tc>
          <w:tcPr>
            <w:tcW w:w="1080" w:type="dxa"/>
            <w:tcBorders>
              <w:top w:val="single" w:sz="8" w:space="0" w:color="000000"/>
              <w:left w:val="single" w:sz="8" w:space="0" w:color="000000"/>
              <w:bottom w:val="single" w:sz="8" w:space="0" w:color="000000"/>
              <w:right w:val="single" w:sz="8" w:space="0" w:color="000000"/>
            </w:tcBorders>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9.218</w:t>
            </w:r>
          </w:p>
        </w:tc>
        <w:tc>
          <w:tcPr>
            <w:tcW w:w="1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&lt;0.01</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81.3%</w:t>
            </w:r>
          </w:p>
        </w:tc>
        <w:tc>
          <w:tcPr>
            <w:tcW w:w="1020" w:type="dxa"/>
            <w:tcBorders>
              <w:top w:val="single" w:sz="8" w:space="0" w:color="000000"/>
              <w:left w:val="single" w:sz="8" w:space="0" w:color="000000"/>
              <w:bottom w:val="single" w:sz="8" w:space="0" w:color="000000"/>
              <w:right w:val="single" w:sz="8" w:space="0" w:color="000000"/>
            </w:tcBorders>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16.25</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&lt;0.001</w:t>
            </w:r>
          </w:p>
        </w:tc>
      </w:tr>
      <w:tr w:rsidR="00E279C2">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PI</w:t>
            </w:r>
          </w:p>
        </w:tc>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60.8%</w:t>
            </w:r>
          </w:p>
        </w:tc>
        <w:tc>
          <w:tcPr>
            <w:tcW w:w="1080" w:type="dxa"/>
            <w:tcBorders>
              <w:top w:val="single" w:sz="8" w:space="0" w:color="000000"/>
              <w:left w:val="single" w:sz="8" w:space="0" w:color="000000"/>
              <w:bottom w:val="single" w:sz="8" w:space="0" w:color="000000"/>
              <w:right w:val="single" w:sz="8" w:space="0" w:color="000000"/>
            </w:tcBorders>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3.167</w:t>
            </w:r>
          </w:p>
        </w:tc>
        <w:tc>
          <w:tcPr>
            <w:tcW w:w="1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0.0875</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77.7%</w:t>
            </w:r>
          </w:p>
        </w:tc>
        <w:tc>
          <w:tcPr>
            <w:tcW w:w="1020" w:type="dxa"/>
            <w:tcBorders>
              <w:top w:val="single" w:sz="8" w:space="0" w:color="000000"/>
              <w:left w:val="single" w:sz="8" w:space="0" w:color="000000"/>
              <w:bottom w:val="single" w:sz="8" w:space="0" w:color="000000"/>
              <w:right w:val="single" w:sz="8" w:space="0" w:color="000000"/>
            </w:tcBorders>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10.59</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&lt;0.01</w:t>
            </w:r>
          </w:p>
        </w:tc>
      </w:tr>
    </w:tbl>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Note: H</w:t>
      </w:r>
      <w:r>
        <w:rPr>
          <w:rFonts w:ascii="Arial" w:eastAsia="Arial" w:hAnsi="Arial" w:cs="Arial"/>
          <w:color w:val="000000"/>
          <w:sz w:val="22"/>
          <w:szCs w:val="22"/>
          <w:vertAlign w:val="subscript"/>
        </w:rPr>
        <w:t>2</w:t>
      </w:r>
      <w:r>
        <w:rPr>
          <w:rFonts w:ascii="Arial" w:eastAsia="Arial" w:hAnsi="Arial" w:cs="Arial"/>
          <w:color w:val="000000"/>
          <w:sz w:val="22"/>
          <w:szCs w:val="22"/>
        </w:rPr>
        <w:t>O</w:t>
      </w:r>
      <w:r>
        <w:rPr>
          <w:rFonts w:ascii="Arial" w:eastAsia="Arial" w:hAnsi="Arial" w:cs="Arial"/>
          <w:color w:val="000000"/>
          <w:sz w:val="22"/>
          <w:szCs w:val="22"/>
          <w:vertAlign w:val="subscript"/>
        </w:rPr>
        <w:t xml:space="preserve">2 </w:t>
      </w:r>
      <w:r>
        <w:rPr>
          <w:rFonts w:ascii="Arial" w:eastAsia="Arial" w:hAnsi="Arial" w:cs="Arial"/>
          <w:color w:val="000000"/>
          <w:sz w:val="22"/>
          <w:szCs w:val="22"/>
        </w:rPr>
        <w:t>production prior to herbivory was negligible.</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b/>
          <w:sz w:val="22"/>
          <w:szCs w:val="22"/>
        </w:rPr>
      </w:pPr>
      <w:r>
        <w:rPr>
          <w:rFonts w:ascii="Arial" w:eastAsia="Arial" w:hAnsi="Arial" w:cs="Arial"/>
          <w:b/>
          <w:color w:val="000000"/>
          <w:sz w:val="22"/>
          <w:szCs w:val="22"/>
        </w:rPr>
        <w:t xml:space="preserve">Table 2. </w:t>
      </w:r>
      <w:r>
        <w:rPr>
          <w:rFonts w:ascii="Arial" w:eastAsia="Arial" w:hAnsi="Arial" w:cs="Arial"/>
          <w:color w:val="000000"/>
          <w:sz w:val="22"/>
          <w:szCs w:val="22"/>
        </w:rPr>
        <w:t xml:space="preserve">Comparison </w:t>
      </w:r>
      <w:r>
        <w:rPr>
          <w:rFonts w:ascii="Arial" w:eastAsia="Arial" w:hAnsi="Arial" w:cs="Arial"/>
          <w:sz w:val="22"/>
          <w:szCs w:val="22"/>
        </w:rPr>
        <w:t xml:space="preserve">of </w:t>
      </w:r>
      <w:r>
        <w:rPr>
          <w:rFonts w:ascii="Arial" w:eastAsia="Arial" w:hAnsi="Arial" w:cs="Arial"/>
          <w:color w:val="000000"/>
          <w:sz w:val="22"/>
          <w:szCs w:val="22"/>
        </w:rPr>
        <w:t xml:space="preserve">technical replicate standard errors between spectrophotometer and microplate assays for POD and PPO of </w:t>
      </w:r>
      <w:r>
        <w:rPr>
          <w:rFonts w:ascii="Arial" w:eastAsia="Arial" w:hAnsi="Arial" w:cs="Arial"/>
          <w:i/>
          <w:sz w:val="22"/>
          <w:szCs w:val="22"/>
        </w:rPr>
        <w:t xml:space="preserve">Solanum lycopersicum </w:t>
      </w:r>
      <w:r>
        <w:rPr>
          <w:rFonts w:ascii="Arial" w:eastAsia="Arial" w:hAnsi="Arial" w:cs="Arial"/>
          <w:sz w:val="22"/>
          <w:szCs w:val="22"/>
        </w:rPr>
        <w:t xml:space="preserve">plants. By not pooling tissue samples, we are able to decrease replicate experimental error. </w:t>
      </w:r>
    </w:p>
    <w:p w:rsidR="00E279C2" w:rsidRDefault="00E279C2">
      <w:pPr>
        <w:pBdr>
          <w:top w:val="nil"/>
          <w:left w:val="nil"/>
          <w:bottom w:val="nil"/>
          <w:right w:val="nil"/>
          <w:between w:val="nil"/>
        </w:pBdr>
        <w:spacing w:line="480" w:lineRule="auto"/>
        <w:rPr>
          <w:rFonts w:ascii="Arial" w:eastAsia="Arial" w:hAnsi="Arial" w:cs="Arial"/>
          <w:sz w:val="22"/>
          <w:szCs w:val="22"/>
        </w:rPr>
      </w:pPr>
    </w:p>
    <w:tbl>
      <w:tblPr>
        <w:tblStyle w:val="a0"/>
        <w:tblW w:w="7393" w:type="dxa"/>
        <w:tblLayout w:type="fixed"/>
        <w:tblLook w:val="0400" w:firstRow="0" w:lastRow="0" w:firstColumn="0" w:lastColumn="0" w:noHBand="0" w:noVBand="1"/>
      </w:tblPr>
      <w:tblGrid>
        <w:gridCol w:w="849"/>
        <w:gridCol w:w="1521"/>
        <w:gridCol w:w="1619"/>
        <w:gridCol w:w="1649"/>
        <w:gridCol w:w="1755"/>
      </w:tblGrid>
      <w:tr w:rsidR="00E279C2">
        <w:trPr>
          <w:trHeight w:val="480"/>
        </w:trPr>
        <w:tc>
          <w:tcPr>
            <w:tcW w:w="84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Assay</w:t>
            </w:r>
          </w:p>
        </w:tc>
        <w:tc>
          <w:tcPr>
            <w:tcW w:w="31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79C2" w:rsidRDefault="00504627">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Experimental mean</w:t>
            </w:r>
          </w:p>
          <w:p w:rsidR="00E279C2" w:rsidRDefault="00504627">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(Abs/ g FW)</w:t>
            </w:r>
          </w:p>
        </w:tc>
        <w:tc>
          <w:tcPr>
            <w:tcW w:w="34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Experimental SE as % of mean</w:t>
            </w:r>
          </w:p>
        </w:tc>
      </w:tr>
      <w:tr w:rsidR="00E279C2">
        <w:trPr>
          <w:trHeight w:val="420"/>
        </w:trPr>
        <w:tc>
          <w:tcPr>
            <w:tcW w:w="84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79C2" w:rsidRDefault="00E279C2">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Pre-herbivory</w:t>
            </w:r>
          </w:p>
        </w:tc>
        <w:tc>
          <w:tcPr>
            <w:tcW w:w="1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Post-herbivory</w:t>
            </w:r>
          </w:p>
        </w:tc>
        <w:tc>
          <w:tcPr>
            <w:tcW w:w="1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Pre-herbivory</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Post-herbivory</w:t>
            </w:r>
          </w:p>
        </w:tc>
      </w:tr>
      <w:tr w:rsidR="00E279C2">
        <w:tc>
          <w:tcPr>
            <w:tcW w:w="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POD</w:t>
            </w:r>
          </w:p>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Spec</w:t>
            </w:r>
          </w:p>
        </w:tc>
        <w:tc>
          <w:tcPr>
            <w:tcW w:w="1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1.17</w:t>
            </w:r>
          </w:p>
        </w:tc>
        <w:tc>
          <w:tcPr>
            <w:tcW w:w="1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46.8</w:t>
            </w:r>
          </w:p>
        </w:tc>
        <w:tc>
          <w:tcPr>
            <w:tcW w:w="1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 xml:space="preserve">68.14% </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34.85%</w:t>
            </w:r>
          </w:p>
        </w:tc>
      </w:tr>
      <w:tr w:rsidR="00E279C2">
        <w:tc>
          <w:tcPr>
            <w:tcW w:w="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POD</w:t>
            </w:r>
          </w:p>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Micro</w:t>
            </w:r>
          </w:p>
        </w:tc>
        <w:tc>
          <w:tcPr>
            <w:tcW w:w="1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6.31</w:t>
            </w:r>
          </w:p>
        </w:tc>
        <w:tc>
          <w:tcPr>
            <w:tcW w:w="1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256.47</w:t>
            </w:r>
          </w:p>
        </w:tc>
        <w:tc>
          <w:tcPr>
            <w:tcW w:w="1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3.34%</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1.97%</w:t>
            </w:r>
          </w:p>
        </w:tc>
      </w:tr>
      <w:tr w:rsidR="00E279C2">
        <w:tc>
          <w:tcPr>
            <w:tcW w:w="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PPO</w:t>
            </w:r>
          </w:p>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Spec</w:t>
            </w:r>
          </w:p>
        </w:tc>
        <w:tc>
          <w:tcPr>
            <w:tcW w:w="1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0.79</w:t>
            </w:r>
          </w:p>
        </w:tc>
        <w:tc>
          <w:tcPr>
            <w:tcW w:w="1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34.64</w:t>
            </w:r>
          </w:p>
        </w:tc>
        <w:tc>
          <w:tcPr>
            <w:tcW w:w="1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 xml:space="preserve">26.88% </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26.74%</w:t>
            </w:r>
          </w:p>
        </w:tc>
      </w:tr>
      <w:tr w:rsidR="00E279C2">
        <w:tc>
          <w:tcPr>
            <w:tcW w:w="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PPO</w:t>
            </w:r>
          </w:p>
          <w:p w:rsidR="00E279C2" w:rsidRDefault="0050462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Micro</w:t>
            </w:r>
          </w:p>
        </w:tc>
        <w:tc>
          <w:tcPr>
            <w:tcW w:w="1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 xml:space="preserve">1.98 </w:t>
            </w:r>
          </w:p>
        </w:tc>
        <w:tc>
          <w:tcPr>
            <w:tcW w:w="1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122.26</w:t>
            </w:r>
          </w:p>
        </w:tc>
        <w:tc>
          <w:tcPr>
            <w:tcW w:w="1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14.6%</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279C2" w:rsidRDefault="00504627">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10.15%</w:t>
            </w:r>
          </w:p>
        </w:tc>
      </w:tr>
    </w:tbl>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E279C2">
      <w:pPr>
        <w:pBdr>
          <w:top w:val="nil"/>
          <w:left w:val="nil"/>
          <w:bottom w:val="nil"/>
          <w:right w:val="nil"/>
          <w:between w:val="nil"/>
        </w:pBdr>
        <w:spacing w:line="480" w:lineRule="auto"/>
        <w:rPr>
          <w:rFonts w:ascii="Arial" w:eastAsia="Arial" w:hAnsi="Arial" w:cs="Arial"/>
          <w:b/>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b/>
          <w:color w:val="000000"/>
          <w:sz w:val="22"/>
          <w:szCs w:val="22"/>
        </w:rPr>
      </w:pPr>
      <w:r>
        <w:rPr>
          <w:rFonts w:ascii="Arial" w:eastAsia="Arial" w:hAnsi="Arial" w:cs="Arial"/>
          <w:b/>
          <w:color w:val="000000"/>
          <w:sz w:val="22"/>
          <w:szCs w:val="22"/>
        </w:rPr>
        <w:t xml:space="preserve">APPENDIX </w:t>
      </w:r>
    </w:p>
    <w:p w:rsidR="00E279C2" w:rsidRDefault="00504627">
      <w:pPr>
        <w:pBdr>
          <w:top w:val="nil"/>
          <w:left w:val="nil"/>
          <w:bottom w:val="nil"/>
          <w:right w:val="nil"/>
          <w:between w:val="nil"/>
        </w:pBdr>
        <w:spacing w:line="480" w:lineRule="auto"/>
        <w:rPr>
          <w:rFonts w:ascii="Arial" w:eastAsia="Arial" w:hAnsi="Arial" w:cs="Arial"/>
          <w:b/>
          <w:color w:val="000000"/>
          <w:sz w:val="22"/>
          <w:szCs w:val="22"/>
        </w:rPr>
      </w:pPr>
      <w:r>
        <w:rPr>
          <w:rFonts w:ascii="Arial" w:eastAsia="Arial" w:hAnsi="Arial" w:cs="Arial"/>
          <w:b/>
          <w:color w:val="000000"/>
          <w:sz w:val="22"/>
          <w:szCs w:val="22"/>
        </w:rPr>
        <w:t xml:space="preserve">Appendix 1- Protocol for analyzing </w:t>
      </w:r>
      <w:r>
        <w:rPr>
          <w:rFonts w:ascii="Arial" w:eastAsia="Arial" w:hAnsi="Arial" w:cs="Arial"/>
          <w:b/>
          <w:sz w:val="22"/>
          <w:szCs w:val="22"/>
        </w:rPr>
        <w:t>multiple plant defensive compounds using a microplate reader</w:t>
      </w:r>
    </w:p>
    <w:p w:rsidR="00E279C2" w:rsidRDefault="00504627">
      <w:pPr>
        <w:pBdr>
          <w:top w:val="nil"/>
          <w:left w:val="nil"/>
          <w:bottom w:val="nil"/>
          <w:right w:val="nil"/>
          <w:between w:val="nil"/>
        </w:pBdr>
        <w:spacing w:line="480" w:lineRule="auto"/>
        <w:rPr>
          <w:rFonts w:ascii="Arial" w:eastAsia="Arial" w:hAnsi="Arial" w:cs="Arial"/>
          <w:i/>
          <w:color w:val="000000"/>
          <w:sz w:val="22"/>
          <w:szCs w:val="22"/>
        </w:rPr>
      </w:pPr>
      <w:r>
        <w:rPr>
          <w:rFonts w:ascii="Arial" w:eastAsia="Arial" w:hAnsi="Arial" w:cs="Arial"/>
          <w:b/>
          <w:i/>
          <w:color w:val="000000"/>
          <w:sz w:val="22"/>
          <w:szCs w:val="22"/>
        </w:rPr>
        <w:t>Buffers (all stored at room temperature)</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i/>
          <w:color w:val="000000"/>
          <w:sz w:val="22"/>
          <w:szCs w:val="22"/>
        </w:rPr>
        <w:lastRenderedPageBreak/>
        <w:t>Protein Extraction (PE) Buffer:</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4 m</w:t>
      </w:r>
      <w:r>
        <w:rPr>
          <w:rFonts w:ascii="Arial" w:eastAsia="Arial" w:hAnsi="Arial" w:cs="Arial"/>
          <w:sz w:val="22"/>
          <w:szCs w:val="22"/>
        </w:rPr>
        <w:t>L</w:t>
      </w:r>
      <w:r>
        <w:rPr>
          <w:rFonts w:ascii="Arial" w:eastAsia="Arial" w:hAnsi="Arial" w:cs="Arial"/>
          <w:color w:val="000000"/>
          <w:sz w:val="22"/>
          <w:szCs w:val="22"/>
        </w:rPr>
        <w:t xml:space="preserve"> of 25 mM EDTA (final concentration of 1mM)</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88 m</w:t>
      </w:r>
      <w:r>
        <w:rPr>
          <w:rFonts w:ascii="Arial" w:eastAsia="Arial" w:hAnsi="Arial" w:cs="Arial"/>
          <w:sz w:val="22"/>
          <w:szCs w:val="22"/>
        </w:rPr>
        <w:t>L</w:t>
      </w:r>
      <w:r>
        <w:rPr>
          <w:rFonts w:ascii="Arial" w:eastAsia="Arial" w:hAnsi="Arial" w:cs="Arial"/>
          <w:color w:val="000000"/>
          <w:sz w:val="22"/>
          <w:szCs w:val="22"/>
        </w:rPr>
        <w:t xml:space="preserve"> of 100 mM Trizma-Base (final concentration 88mM)</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8 m</w:t>
      </w:r>
      <w:r>
        <w:rPr>
          <w:rFonts w:ascii="Arial" w:eastAsia="Arial" w:hAnsi="Arial" w:cs="Arial"/>
          <w:sz w:val="22"/>
          <w:szCs w:val="22"/>
        </w:rPr>
        <w:t>L</w:t>
      </w:r>
      <w:r>
        <w:rPr>
          <w:rFonts w:ascii="Arial" w:eastAsia="Arial" w:hAnsi="Arial" w:cs="Arial"/>
          <w:color w:val="000000"/>
          <w:sz w:val="22"/>
          <w:szCs w:val="22"/>
        </w:rPr>
        <w:t xml:space="preserve"> of 80% Glycerol (final concentration 10%)</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i/>
          <w:color w:val="000000"/>
          <w:sz w:val="22"/>
          <w:szCs w:val="22"/>
        </w:rPr>
        <w:t>Trichloroacetic Acid (TCA) Extraction Buffer:</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0.1% w/v Trichloroacetic acid in H</w:t>
      </w:r>
      <w:r>
        <w:rPr>
          <w:rFonts w:ascii="Arial" w:eastAsia="Arial" w:hAnsi="Arial" w:cs="Arial"/>
          <w:color w:val="000000"/>
          <w:sz w:val="22"/>
          <w:szCs w:val="22"/>
          <w:vertAlign w:val="subscript"/>
        </w:rPr>
        <w:t>2</w:t>
      </w:r>
      <w:r>
        <w:rPr>
          <w:rFonts w:ascii="Arial" w:eastAsia="Arial" w:hAnsi="Arial" w:cs="Arial"/>
          <w:color w:val="000000"/>
          <w:sz w:val="22"/>
          <w:szCs w:val="22"/>
        </w:rPr>
        <w:t>O</w:t>
      </w:r>
    </w:p>
    <w:p w:rsidR="00E279C2" w:rsidRDefault="00E279C2">
      <w:pPr>
        <w:pBdr>
          <w:top w:val="nil"/>
          <w:left w:val="nil"/>
          <w:bottom w:val="nil"/>
          <w:right w:val="nil"/>
          <w:between w:val="nil"/>
        </w:pBdr>
        <w:spacing w:line="480" w:lineRule="auto"/>
        <w:rPr>
          <w:rFonts w:ascii="Arial" w:eastAsia="Arial" w:hAnsi="Arial" w:cs="Arial"/>
          <w:sz w:val="22"/>
          <w:szCs w:val="22"/>
        </w:rPr>
      </w:pPr>
    </w:p>
    <w:p w:rsidR="00E279C2" w:rsidRDefault="00E279C2">
      <w:pPr>
        <w:spacing w:line="480" w:lineRule="auto"/>
        <w:rPr>
          <w:rFonts w:ascii="Arial" w:eastAsia="Arial" w:hAnsi="Arial" w:cs="Arial"/>
          <w:sz w:val="22"/>
          <w:szCs w:val="22"/>
        </w:rPr>
      </w:pPr>
    </w:p>
    <w:p w:rsidR="00E279C2" w:rsidRDefault="00504627">
      <w:pPr>
        <w:pBdr>
          <w:top w:val="nil"/>
          <w:left w:val="nil"/>
          <w:bottom w:val="nil"/>
          <w:right w:val="nil"/>
          <w:between w:val="nil"/>
        </w:pBdr>
        <w:spacing w:line="480" w:lineRule="auto"/>
        <w:rPr>
          <w:rFonts w:ascii="Arial" w:eastAsia="Arial" w:hAnsi="Arial" w:cs="Arial"/>
          <w:i/>
          <w:color w:val="000000"/>
          <w:sz w:val="22"/>
          <w:szCs w:val="22"/>
        </w:rPr>
      </w:pPr>
      <w:r>
        <w:rPr>
          <w:rFonts w:ascii="Arial" w:eastAsia="Arial" w:hAnsi="Arial" w:cs="Arial"/>
          <w:b/>
          <w:i/>
          <w:color w:val="000000"/>
          <w:sz w:val="22"/>
          <w:szCs w:val="22"/>
        </w:rPr>
        <w:t>Reagents</w:t>
      </w:r>
    </w:p>
    <w:p w:rsidR="00E279C2" w:rsidRDefault="00504627">
      <w:pPr>
        <w:pBdr>
          <w:top w:val="nil"/>
          <w:left w:val="nil"/>
          <w:bottom w:val="nil"/>
          <w:right w:val="nil"/>
          <w:between w:val="nil"/>
        </w:pBdr>
        <w:spacing w:line="480" w:lineRule="auto"/>
        <w:rPr>
          <w:rFonts w:ascii="Arial" w:eastAsia="Arial" w:hAnsi="Arial" w:cs="Arial"/>
          <w:i/>
          <w:sz w:val="22"/>
          <w:szCs w:val="22"/>
        </w:rPr>
      </w:pPr>
      <w:r>
        <w:rPr>
          <w:rFonts w:ascii="Arial" w:eastAsia="Arial" w:hAnsi="Arial" w:cs="Arial"/>
          <w:i/>
          <w:sz w:val="22"/>
          <w:szCs w:val="22"/>
        </w:rPr>
        <w:t>Protein Quantification Assay:</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Pierce BCA Protein Assay Kit</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i/>
          <w:color w:val="000000"/>
          <w:sz w:val="22"/>
          <w:szCs w:val="22"/>
        </w:rPr>
        <w:t>Peroxidase (POD) Assay:</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100 mM sodium phosphate buffer (pH 6.5)</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 xml:space="preserve">5 mM guaiacol made in 100mM sodium </w:t>
      </w:r>
      <w:r w:rsidR="00D81EFA">
        <w:rPr>
          <w:rFonts w:ascii="Arial" w:eastAsia="Arial" w:hAnsi="Arial" w:cs="Arial"/>
          <w:color w:val="000000"/>
          <w:sz w:val="22"/>
          <w:szCs w:val="22"/>
        </w:rPr>
        <w:t>phosphate</w:t>
      </w:r>
      <w:r>
        <w:rPr>
          <w:rFonts w:ascii="Arial" w:eastAsia="Arial" w:hAnsi="Arial" w:cs="Arial"/>
          <w:color w:val="000000"/>
          <w:sz w:val="22"/>
          <w:szCs w:val="22"/>
        </w:rPr>
        <w:t xml:space="preserve"> buffer (pH 6.5)  </w:t>
      </w:r>
    </w:p>
    <w:p w:rsidR="00E279C2" w:rsidRDefault="00504627">
      <w:pPr>
        <w:numPr>
          <w:ilvl w:val="0"/>
          <w:numId w:val="8"/>
        </w:numPr>
        <w:pBdr>
          <w:top w:val="nil"/>
          <w:left w:val="nil"/>
          <w:bottom w:val="nil"/>
          <w:right w:val="nil"/>
          <w:between w:val="nil"/>
        </w:pBdr>
        <w:spacing w:line="480" w:lineRule="auto"/>
        <w:rPr>
          <w:color w:val="000000"/>
        </w:rPr>
      </w:pPr>
      <w:r>
        <w:rPr>
          <w:rFonts w:ascii="Arial" w:eastAsia="Arial" w:hAnsi="Arial" w:cs="Arial"/>
          <w:color w:val="000000"/>
          <w:sz w:val="22"/>
          <w:szCs w:val="22"/>
        </w:rPr>
        <w:t>May be liquid at room temperature; stock must be stored under inert gas (N</w:t>
      </w:r>
      <w:r>
        <w:rPr>
          <w:rFonts w:ascii="Arial" w:eastAsia="Arial" w:hAnsi="Arial" w:cs="Arial"/>
          <w:sz w:val="22"/>
          <w:szCs w:val="22"/>
          <w:vertAlign w:val="subscript"/>
        </w:rPr>
        <w:t>2</w:t>
      </w:r>
      <w:r>
        <w:rPr>
          <w:rFonts w:ascii="Arial" w:eastAsia="Arial" w:hAnsi="Arial" w:cs="Arial"/>
          <w:color w:val="000000"/>
          <w:sz w:val="22"/>
          <w:szCs w:val="22"/>
        </w:rPr>
        <w:t>, Ar)</w:t>
      </w:r>
    </w:p>
    <w:p w:rsidR="00E279C2" w:rsidRDefault="00504627">
      <w:pPr>
        <w:numPr>
          <w:ilvl w:val="0"/>
          <w:numId w:val="8"/>
        </w:numPr>
        <w:pBdr>
          <w:top w:val="nil"/>
          <w:left w:val="nil"/>
          <w:bottom w:val="nil"/>
          <w:right w:val="nil"/>
          <w:between w:val="nil"/>
        </w:pBdr>
        <w:spacing w:line="480" w:lineRule="auto"/>
        <w:rPr>
          <w:color w:val="000000"/>
        </w:rPr>
      </w:pPr>
      <w:r>
        <w:rPr>
          <w:rFonts w:ascii="Arial" w:eastAsia="Arial" w:hAnsi="Arial" w:cs="Arial"/>
          <w:color w:val="000000"/>
          <w:sz w:val="22"/>
          <w:szCs w:val="22"/>
        </w:rPr>
        <w:t>Solution is light sensitive</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5 mM H</w:t>
      </w:r>
      <w:r>
        <w:rPr>
          <w:rFonts w:ascii="Arial" w:eastAsia="Arial" w:hAnsi="Arial" w:cs="Arial"/>
          <w:color w:val="000000"/>
          <w:sz w:val="22"/>
          <w:szCs w:val="22"/>
          <w:vertAlign w:val="subscript"/>
        </w:rPr>
        <w:t>2</w:t>
      </w:r>
      <w:r>
        <w:rPr>
          <w:rFonts w:ascii="Arial" w:eastAsia="Arial" w:hAnsi="Arial" w:cs="Arial"/>
          <w:color w:val="000000"/>
          <w:sz w:val="22"/>
          <w:szCs w:val="22"/>
        </w:rPr>
        <w:t>O</w:t>
      </w:r>
      <w:r>
        <w:rPr>
          <w:rFonts w:ascii="Arial" w:eastAsia="Arial" w:hAnsi="Arial" w:cs="Arial"/>
          <w:color w:val="000000"/>
          <w:sz w:val="22"/>
          <w:szCs w:val="22"/>
          <w:vertAlign w:val="subscript"/>
        </w:rPr>
        <w:t>2</w:t>
      </w:r>
    </w:p>
    <w:p w:rsidR="00E279C2" w:rsidRDefault="00504627">
      <w:pPr>
        <w:numPr>
          <w:ilvl w:val="0"/>
          <w:numId w:val="9"/>
        </w:numPr>
        <w:pBdr>
          <w:top w:val="nil"/>
          <w:left w:val="nil"/>
          <w:bottom w:val="nil"/>
          <w:right w:val="nil"/>
          <w:between w:val="nil"/>
        </w:pBdr>
        <w:spacing w:line="480" w:lineRule="auto"/>
        <w:rPr>
          <w:color w:val="000000"/>
        </w:rPr>
      </w:pPr>
      <w:r>
        <w:rPr>
          <w:rFonts w:ascii="Arial" w:eastAsia="Arial" w:hAnsi="Arial" w:cs="Arial"/>
          <w:color w:val="000000"/>
          <w:sz w:val="22"/>
          <w:szCs w:val="22"/>
        </w:rPr>
        <w:t>3% stock solution used; good for 4 weeks</w:t>
      </w:r>
    </w:p>
    <w:p w:rsidR="00E279C2" w:rsidRDefault="00504627">
      <w:pPr>
        <w:numPr>
          <w:ilvl w:val="0"/>
          <w:numId w:val="9"/>
        </w:numPr>
        <w:pBdr>
          <w:top w:val="nil"/>
          <w:left w:val="nil"/>
          <w:bottom w:val="nil"/>
          <w:right w:val="nil"/>
          <w:between w:val="nil"/>
        </w:pBdr>
        <w:spacing w:line="480" w:lineRule="auto"/>
        <w:rPr>
          <w:color w:val="000000"/>
        </w:rPr>
      </w:pPr>
      <w:r>
        <w:rPr>
          <w:rFonts w:ascii="Arial" w:eastAsia="Arial" w:hAnsi="Arial" w:cs="Arial"/>
          <w:color w:val="000000"/>
          <w:sz w:val="22"/>
          <w:szCs w:val="22"/>
        </w:rPr>
        <w:t>Light sensitive</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i/>
          <w:color w:val="000000"/>
          <w:sz w:val="22"/>
          <w:szCs w:val="22"/>
        </w:rPr>
        <w:t>Polyphenol Oxidase (PPO) Assay:</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100 mM sodium phosphate buffer, pH 6.8</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50 mM pyrocatechol</w:t>
      </w:r>
    </w:p>
    <w:p w:rsidR="00E279C2" w:rsidRDefault="00504627">
      <w:pPr>
        <w:numPr>
          <w:ilvl w:val="0"/>
          <w:numId w:val="1"/>
        </w:numPr>
        <w:pBdr>
          <w:top w:val="nil"/>
          <w:left w:val="nil"/>
          <w:bottom w:val="nil"/>
          <w:right w:val="nil"/>
          <w:between w:val="nil"/>
        </w:pBdr>
        <w:spacing w:line="480" w:lineRule="auto"/>
        <w:rPr>
          <w:color w:val="000000"/>
        </w:rPr>
      </w:pPr>
      <w:r>
        <w:rPr>
          <w:rFonts w:ascii="Arial" w:eastAsia="Arial" w:hAnsi="Arial" w:cs="Arial"/>
          <w:color w:val="000000"/>
          <w:sz w:val="22"/>
          <w:szCs w:val="22"/>
        </w:rPr>
        <w:lastRenderedPageBreak/>
        <w:t>Stock must be stored under inert gas (N</w:t>
      </w:r>
      <w:r>
        <w:rPr>
          <w:rFonts w:ascii="Arial" w:eastAsia="Arial" w:hAnsi="Arial" w:cs="Arial"/>
          <w:sz w:val="22"/>
          <w:szCs w:val="22"/>
          <w:vertAlign w:val="subscript"/>
        </w:rPr>
        <w:t>2</w:t>
      </w:r>
      <w:r>
        <w:rPr>
          <w:rFonts w:ascii="Arial" w:eastAsia="Arial" w:hAnsi="Arial" w:cs="Arial"/>
          <w:color w:val="000000"/>
          <w:sz w:val="22"/>
          <w:szCs w:val="22"/>
        </w:rPr>
        <w:t>, Ar)</w:t>
      </w:r>
    </w:p>
    <w:p w:rsidR="00E279C2" w:rsidRDefault="00504627">
      <w:pPr>
        <w:numPr>
          <w:ilvl w:val="0"/>
          <w:numId w:val="1"/>
        </w:numPr>
        <w:pBdr>
          <w:top w:val="nil"/>
          <w:left w:val="nil"/>
          <w:bottom w:val="nil"/>
          <w:right w:val="nil"/>
          <w:between w:val="nil"/>
        </w:pBdr>
        <w:spacing w:line="480" w:lineRule="auto"/>
        <w:rPr>
          <w:color w:val="000000"/>
        </w:rPr>
      </w:pPr>
      <w:r>
        <w:rPr>
          <w:rFonts w:ascii="Arial" w:eastAsia="Arial" w:hAnsi="Arial" w:cs="Arial"/>
          <w:color w:val="000000"/>
          <w:sz w:val="22"/>
          <w:szCs w:val="22"/>
        </w:rPr>
        <w:t>Solution is light sensitive</w:t>
      </w:r>
    </w:p>
    <w:p w:rsidR="00E279C2" w:rsidRDefault="00504627">
      <w:pPr>
        <w:numPr>
          <w:ilvl w:val="0"/>
          <w:numId w:val="1"/>
        </w:numPr>
        <w:pBdr>
          <w:top w:val="nil"/>
          <w:left w:val="nil"/>
          <w:bottom w:val="nil"/>
          <w:right w:val="nil"/>
          <w:between w:val="nil"/>
        </w:pBdr>
        <w:spacing w:line="480" w:lineRule="auto"/>
        <w:rPr>
          <w:color w:val="000000"/>
        </w:rPr>
      </w:pPr>
      <w:r>
        <w:rPr>
          <w:rFonts w:ascii="Arial" w:eastAsia="Arial" w:hAnsi="Arial" w:cs="Arial"/>
          <w:color w:val="000000"/>
          <w:sz w:val="22"/>
          <w:szCs w:val="22"/>
        </w:rPr>
        <w:t>Solution only good for ~ 2 days</w:t>
      </w:r>
    </w:p>
    <w:p w:rsidR="00E279C2" w:rsidRDefault="00504627">
      <w:pPr>
        <w:numPr>
          <w:ilvl w:val="0"/>
          <w:numId w:val="1"/>
        </w:numPr>
        <w:pBdr>
          <w:top w:val="nil"/>
          <w:left w:val="nil"/>
          <w:bottom w:val="nil"/>
          <w:right w:val="nil"/>
          <w:between w:val="nil"/>
        </w:pBdr>
        <w:spacing w:line="480" w:lineRule="auto"/>
        <w:rPr>
          <w:color w:val="000000"/>
        </w:rPr>
      </w:pPr>
      <w:r>
        <w:rPr>
          <w:rFonts w:ascii="Arial" w:eastAsia="Arial" w:hAnsi="Arial" w:cs="Arial"/>
          <w:color w:val="000000"/>
          <w:sz w:val="22"/>
          <w:szCs w:val="22"/>
        </w:rPr>
        <w:t xml:space="preserve">Soluble in sodium phosphate buffer </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i/>
          <w:color w:val="000000"/>
          <w:sz w:val="22"/>
          <w:szCs w:val="22"/>
        </w:rPr>
        <w:t>H</w:t>
      </w:r>
      <w:r>
        <w:rPr>
          <w:rFonts w:ascii="Arial" w:eastAsia="Arial" w:hAnsi="Arial" w:cs="Arial"/>
          <w:i/>
          <w:color w:val="000000"/>
          <w:sz w:val="22"/>
          <w:szCs w:val="22"/>
          <w:vertAlign w:val="subscript"/>
        </w:rPr>
        <w:t>2</w:t>
      </w:r>
      <w:r>
        <w:rPr>
          <w:rFonts w:ascii="Arial" w:eastAsia="Arial" w:hAnsi="Arial" w:cs="Arial"/>
          <w:i/>
          <w:color w:val="000000"/>
          <w:sz w:val="22"/>
          <w:szCs w:val="22"/>
        </w:rPr>
        <w:t>O</w:t>
      </w:r>
      <w:r>
        <w:rPr>
          <w:rFonts w:ascii="Arial" w:eastAsia="Arial" w:hAnsi="Arial" w:cs="Arial"/>
          <w:i/>
          <w:color w:val="000000"/>
          <w:sz w:val="22"/>
          <w:szCs w:val="22"/>
          <w:vertAlign w:val="subscript"/>
        </w:rPr>
        <w:t>2</w:t>
      </w:r>
      <w:r>
        <w:rPr>
          <w:rFonts w:ascii="Arial" w:eastAsia="Arial" w:hAnsi="Arial" w:cs="Arial"/>
          <w:i/>
          <w:color w:val="000000"/>
          <w:sz w:val="22"/>
          <w:szCs w:val="22"/>
        </w:rPr>
        <w:t xml:space="preserve"> Quantification Assay:</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0.1% w/v TCA</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1 M potassium iodide</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10 mM potassium phosphate buffer (pH 6.5)</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3% w/v H</w:t>
      </w:r>
      <w:r>
        <w:rPr>
          <w:rFonts w:ascii="Arial" w:eastAsia="Arial" w:hAnsi="Arial" w:cs="Arial"/>
          <w:color w:val="000000"/>
          <w:sz w:val="22"/>
          <w:szCs w:val="22"/>
          <w:vertAlign w:val="subscript"/>
        </w:rPr>
        <w:t>2</w:t>
      </w:r>
      <w:r>
        <w:rPr>
          <w:rFonts w:ascii="Arial" w:eastAsia="Arial" w:hAnsi="Arial" w:cs="Arial"/>
          <w:color w:val="000000"/>
          <w:sz w:val="22"/>
          <w:szCs w:val="22"/>
        </w:rPr>
        <w:t>O</w:t>
      </w:r>
      <w:r>
        <w:rPr>
          <w:rFonts w:ascii="Arial" w:eastAsia="Arial" w:hAnsi="Arial" w:cs="Arial"/>
          <w:color w:val="000000"/>
          <w:sz w:val="22"/>
          <w:szCs w:val="22"/>
          <w:vertAlign w:val="subscript"/>
        </w:rPr>
        <w:t>2</w:t>
      </w:r>
      <w:r>
        <w:rPr>
          <w:rFonts w:ascii="Arial" w:eastAsia="Arial" w:hAnsi="Arial" w:cs="Arial"/>
          <w:color w:val="000000"/>
          <w:sz w:val="22"/>
          <w:szCs w:val="22"/>
        </w:rPr>
        <w:t xml:space="preserve"> (0.988 M)</w:t>
      </w:r>
    </w:p>
    <w:p w:rsidR="00E279C2" w:rsidRDefault="00504627">
      <w:pPr>
        <w:numPr>
          <w:ilvl w:val="0"/>
          <w:numId w:val="3"/>
        </w:numPr>
        <w:pBdr>
          <w:top w:val="nil"/>
          <w:left w:val="nil"/>
          <w:bottom w:val="nil"/>
          <w:right w:val="nil"/>
          <w:between w:val="nil"/>
        </w:pBdr>
        <w:spacing w:line="480" w:lineRule="auto"/>
        <w:rPr>
          <w:color w:val="000000"/>
        </w:rPr>
      </w:pPr>
      <w:r>
        <w:rPr>
          <w:rFonts w:ascii="Arial" w:eastAsia="Arial" w:hAnsi="Arial" w:cs="Arial"/>
          <w:color w:val="000000"/>
          <w:sz w:val="22"/>
          <w:szCs w:val="22"/>
        </w:rPr>
        <w:t>Only good for 30 days</w:t>
      </w:r>
    </w:p>
    <w:p w:rsidR="00E279C2" w:rsidRDefault="00504627">
      <w:pPr>
        <w:numPr>
          <w:ilvl w:val="0"/>
          <w:numId w:val="3"/>
        </w:numPr>
        <w:pBdr>
          <w:top w:val="nil"/>
          <w:left w:val="nil"/>
          <w:bottom w:val="nil"/>
          <w:right w:val="nil"/>
          <w:between w:val="nil"/>
        </w:pBdr>
        <w:spacing w:line="480" w:lineRule="auto"/>
        <w:rPr>
          <w:color w:val="000000"/>
        </w:rPr>
      </w:pPr>
      <w:r>
        <w:rPr>
          <w:rFonts w:ascii="Arial" w:eastAsia="Arial" w:hAnsi="Arial" w:cs="Arial"/>
          <w:color w:val="000000"/>
          <w:sz w:val="22"/>
          <w:szCs w:val="22"/>
        </w:rPr>
        <w:t>Light sensitive and must be kept at 4C</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BF7E21">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i/>
          <w:color w:val="000000"/>
          <w:sz w:val="22"/>
          <w:szCs w:val="22"/>
        </w:rPr>
        <w:t>Prote</w:t>
      </w:r>
      <w:r w:rsidR="00504627">
        <w:rPr>
          <w:rFonts w:ascii="Arial" w:eastAsia="Arial" w:hAnsi="Arial" w:cs="Arial"/>
          <w:i/>
          <w:color w:val="000000"/>
          <w:sz w:val="22"/>
          <w:szCs w:val="22"/>
        </w:rPr>
        <w:t>ase Inhibition (PI) Assay:</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100 mM Trizma-Base buffer (pH 7.8)</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2% azocasein in Trizma-Base buffer (100mM)</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1 mM HCl solution (Trizma-Base) containing 200 ng of trypsin (0.1mg/ml)</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100% w/v TCA</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1 M sodium hydroxide</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b/>
          <w:i/>
          <w:color w:val="000000"/>
          <w:sz w:val="22"/>
          <w:szCs w:val="22"/>
        </w:rPr>
      </w:pPr>
      <w:r>
        <w:rPr>
          <w:rFonts w:ascii="Arial" w:eastAsia="Arial" w:hAnsi="Arial" w:cs="Arial"/>
          <w:b/>
          <w:i/>
          <w:color w:val="000000"/>
          <w:sz w:val="22"/>
          <w:szCs w:val="22"/>
        </w:rPr>
        <w:t>Extraction and homogenization</w:t>
      </w:r>
    </w:p>
    <w:p w:rsidR="00E279C2" w:rsidRDefault="00504627">
      <w:pPr>
        <w:numPr>
          <w:ilvl w:val="0"/>
          <w:numId w:val="10"/>
        </w:numPr>
        <w:pBdr>
          <w:top w:val="nil"/>
          <w:left w:val="nil"/>
          <w:bottom w:val="nil"/>
          <w:right w:val="nil"/>
          <w:between w:val="nil"/>
        </w:pBdr>
        <w:spacing w:line="480" w:lineRule="auto"/>
        <w:contextualSpacing/>
        <w:rPr>
          <w:rFonts w:ascii="Arial" w:eastAsia="Arial" w:hAnsi="Arial" w:cs="Arial"/>
          <w:sz w:val="22"/>
          <w:szCs w:val="22"/>
        </w:rPr>
      </w:pPr>
      <w:r>
        <w:rPr>
          <w:rFonts w:ascii="Arial" w:eastAsia="Arial" w:hAnsi="Arial" w:cs="Arial"/>
          <w:sz w:val="22"/>
          <w:szCs w:val="22"/>
        </w:rPr>
        <w:t>Snap freeze harvested l</w:t>
      </w:r>
      <w:r>
        <w:rPr>
          <w:rFonts w:ascii="Arial" w:eastAsia="Arial" w:hAnsi="Arial" w:cs="Arial"/>
          <w:color w:val="000000"/>
          <w:sz w:val="22"/>
          <w:szCs w:val="22"/>
        </w:rPr>
        <w:t>eaf tissue from each plant in microcentrifuge tubes and weigh.</w:t>
      </w:r>
    </w:p>
    <w:p w:rsidR="00E279C2" w:rsidRDefault="00504627">
      <w:pPr>
        <w:numPr>
          <w:ilvl w:val="0"/>
          <w:numId w:val="10"/>
        </w:numPr>
        <w:pBdr>
          <w:top w:val="nil"/>
          <w:left w:val="nil"/>
          <w:bottom w:val="nil"/>
          <w:right w:val="nil"/>
          <w:between w:val="nil"/>
        </w:pBdr>
        <w:spacing w:line="480" w:lineRule="auto"/>
        <w:contextualSpacing/>
        <w:rPr>
          <w:rFonts w:ascii="Arial" w:eastAsia="Arial" w:hAnsi="Arial" w:cs="Arial"/>
          <w:sz w:val="22"/>
          <w:szCs w:val="22"/>
        </w:rPr>
      </w:pPr>
      <w:r>
        <w:rPr>
          <w:rFonts w:ascii="Arial" w:eastAsia="Arial" w:hAnsi="Arial" w:cs="Arial"/>
          <w:sz w:val="22"/>
          <w:szCs w:val="22"/>
        </w:rPr>
        <w:lastRenderedPageBreak/>
        <w:t>H</w:t>
      </w:r>
      <w:r>
        <w:rPr>
          <w:rFonts w:ascii="Arial" w:eastAsia="Arial" w:hAnsi="Arial" w:cs="Arial"/>
          <w:color w:val="000000"/>
          <w:sz w:val="22"/>
          <w:szCs w:val="22"/>
        </w:rPr>
        <w:t>omogeniz</w:t>
      </w:r>
      <w:r>
        <w:rPr>
          <w:rFonts w:ascii="Arial" w:eastAsia="Arial" w:hAnsi="Arial" w:cs="Arial"/>
          <w:sz w:val="22"/>
          <w:szCs w:val="22"/>
        </w:rPr>
        <w:t>e tubes</w:t>
      </w:r>
      <w:r>
        <w:rPr>
          <w:rFonts w:ascii="Arial" w:eastAsia="Arial" w:hAnsi="Arial" w:cs="Arial"/>
          <w:color w:val="000000"/>
          <w:sz w:val="22"/>
          <w:szCs w:val="22"/>
        </w:rPr>
        <w:t xml:space="preserve"> for 15 minutes at 300 rpm in a tissuelyser (QIAGEN TissueLyser II, QIAGEN, Maryland, USA) using </w:t>
      </w:r>
      <w:r w:rsidR="00D81EFA">
        <w:rPr>
          <w:rFonts w:ascii="Arial" w:eastAsia="Arial" w:hAnsi="Arial" w:cs="Arial"/>
          <w:sz w:val="22"/>
          <w:szCs w:val="22"/>
        </w:rPr>
        <w:t>Teflon</w:t>
      </w:r>
      <w:r>
        <w:rPr>
          <w:rFonts w:ascii="Arial" w:eastAsia="Arial" w:hAnsi="Arial" w:cs="Arial"/>
          <w:sz w:val="22"/>
          <w:szCs w:val="22"/>
        </w:rPr>
        <w:t xml:space="preserve"> coated</w:t>
      </w:r>
      <w:r>
        <w:rPr>
          <w:rFonts w:ascii="Arial" w:eastAsia="Arial" w:hAnsi="Arial" w:cs="Arial"/>
          <w:color w:val="000000"/>
          <w:sz w:val="22"/>
          <w:szCs w:val="22"/>
        </w:rPr>
        <w:t xml:space="preserve"> adaptors that are </w:t>
      </w:r>
      <w:r>
        <w:rPr>
          <w:rFonts w:ascii="Arial" w:eastAsia="Arial" w:hAnsi="Arial" w:cs="Arial"/>
          <w:sz w:val="22"/>
          <w:szCs w:val="22"/>
        </w:rPr>
        <w:t>stored at -80°C to prevent additional accumulation of stress-related compounds</w:t>
      </w:r>
      <w:r>
        <w:rPr>
          <w:rFonts w:ascii="Arial" w:eastAsia="Arial" w:hAnsi="Arial" w:cs="Arial"/>
          <w:b/>
          <w:color w:val="000000"/>
          <w:sz w:val="22"/>
          <w:szCs w:val="22"/>
        </w:rPr>
        <w:t>.</w:t>
      </w:r>
      <w:r>
        <w:rPr>
          <w:rFonts w:ascii="Arial" w:eastAsia="Arial" w:hAnsi="Arial" w:cs="Arial"/>
          <w:color w:val="000000"/>
          <w:sz w:val="22"/>
          <w:szCs w:val="22"/>
        </w:rPr>
        <w:t xml:space="preserve"> </w:t>
      </w:r>
    </w:p>
    <w:p w:rsidR="00E279C2" w:rsidRDefault="00504627">
      <w:pPr>
        <w:numPr>
          <w:ilvl w:val="0"/>
          <w:numId w:val="10"/>
        </w:numPr>
        <w:pBdr>
          <w:top w:val="nil"/>
          <w:left w:val="nil"/>
          <w:bottom w:val="nil"/>
          <w:right w:val="nil"/>
          <w:between w:val="nil"/>
        </w:pBdr>
        <w:spacing w:line="480" w:lineRule="auto"/>
        <w:contextualSpacing/>
        <w:rPr>
          <w:rFonts w:ascii="Arial" w:eastAsia="Arial" w:hAnsi="Arial" w:cs="Arial"/>
          <w:sz w:val="22"/>
          <w:szCs w:val="22"/>
        </w:rPr>
      </w:pPr>
      <w:r>
        <w:rPr>
          <w:rFonts w:ascii="Arial" w:eastAsia="Arial" w:hAnsi="Arial" w:cs="Arial"/>
          <w:sz w:val="22"/>
          <w:szCs w:val="22"/>
        </w:rPr>
        <w:t xml:space="preserve">Add 1mL of the 0.1% TCA buffer (Table A1) to microcentrifuge tubes with plant samples to be used for the hydrogen peroxide assay. </w:t>
      </w:r>
    </w:p>
    <w:p w:rsidR="00E279C2" w:rsidRDefault="00504627">
      <w:pPr>
        <w:numPr>
          <w:ilvl w:val="0"/>
          <w:numId w:val="10"/>
        </w:numPr>
        <w:pBdr>
          <w:top w:val="nil"/>
          <w:left w:val="nil"/>
          <w:bottom w:val="nil"/>
          <w:right w:val="nil"/>
          <w:between w:val="nil"/>
        </w:pBdr>
        <w:spacing w:line="480" w:lineRule="auto"/>
        <w:contextualSpacing/>
        <w:rPr>
          <w:rFonts w:ascii="Arial" w:eastAsia="Arial" w:hAnsi="Arial" w:cs="Arial"/>
          <w:sz w:val="22"/>
          <w:szCs w:val="22"/>
        </w:rPr>
      </w:pPr>
      <w:r>
        <w:rPr>
          <w:rFonts w:ascii="Arial" w:eastAsia="Arial" w:hAnsi="Arial" w:cs="Arial"/>
          <w:sz w:val="22"/>
          <w:szCs w:val="22"/>
        </w:rPr>
        <w:t>Add 1mL of PE buffer (Table A1) to microcentrifuge tubes with plant samples to be used for all the other assays.</w:t>
      </w:r>
    </w:p>
    <w:p w:rsidR="00E279C2" w:rsidRDefault="00504627">
      <w:pPr>
        <w:numPr>
          <w:ilvl w:val="0"/>
          <w:numId w:val="10"/>
        </w:numPr>
        <w:pBdr>
          <w:top w:val="nil"/>
          <w:left w:val="nil"/>
          <w:bottom w:val="nil"/>
          <w:right w:val="nil"/>
          <w:between w:val="nil"/>
        </w:pBdr>
        <w:spacing w:line="480" w:lineRule="auto"/>
        <w:contextualSpacing/>
        <w:rPr>
          <w:rFonts w:ascii="Arial" w:eastAsia="Arial" w:hAnsi="Arial" w:cs="Arial"/>
          <w:sz w:val="22"/>
          <w:szCs w:val="22"/>
        </w:rPr>
      </w:pPr>
      <w:r>
        <w:rPr>
          <w:rFonts w:ascii="Arial" w:eastAsia="Arial" w:hAnsi="Arial" w:cs="Arial"/>
          <w:sz w:val="22"/>
          <w:szCs w:val="22"/>
        </w:rPr>
        <w:t>C</w:t>
      </w:r>
      <w:r>
        <w:rPr>
          <w:rFonts w:ascii="Arial" w:eastAsia="Arial" w:hAnsi="Arial" w:cs="Arial"/>
          <w:color w:val="000000"/>
          <w:sz w:val="22"/>
          <w:szCs w:val="22"/>
        </w:rPr>
        <w:t>entrifuge</w:t>
      </w:r>
      <w:r>
        <w:rPr>
          <w:rFonts w:ascii="Arial" w:eastAsia="Arial" w:hAnsi="Arial" w:cs="Arial"/>
          <w:sz w:val="22"/>
          <w:szCs w:val="22"/>
        </w:rPr>
        <w:t xml:space="preserve"> tubes </w:t>
      </w:r>
      <w:r>
        <w:rPr>
          <w:rFonts w:ascii="Arial" w:eastAsia="Arial" w:hAnsi="Arial" w:cs="Arial"/>
          <w:color w:val="000000"/>
          <w:sz w:val="22"/>
          <w:szCs w:val="22"/>
        </w:rPr>
        <w:t xml:space="preserve">at 4°C for 10 minutes at 15000 rpm in an accuSpin Micro 17 centrifuge (Fisher Scientific </w:t>
      </w:r>
      <w:r w:rsidR="00D81EFA">
        <w:rPr>
          <w:rFonts w:ascii="Arial" w:eastAsia="Arial" w:hAnsi="Arial" w:cs="Arial"/>
          <w:sz w:val="22"/>
          <w:szCs w:val="22"/>
        </w:rPr>
        <w:t>®)</w:t>
      </w:r>
      <w:r>
        <w:rPr>
          <w:rFonts w:ascii="Arial" w:eastAsia="Arial" w:hAnsi="Arial" w:cs="Arial"/>
          <w:color w:val="000000"/>
          <w:sz w:val="22"/>
          <w:szCs w:val="22"/>
        </w:rPr>
        <w:t xml:space="preserve"> and </w:t>
      </w:r>
      <w:r>
        <w:rPr>
          <w:rFonts w:ascii="Arial" w:eastAsia="Arial" w:hAnsi="Arial" w:cs="Arial"/>
          <w:sz w:val="22"/>
          <w:szCs w:val="22"/>
        </w:rPr>
        <w:t>pipette the supernatant</w:t>
      </w:r>
      <w:r>
        <w:rPr>
          <w:rFonts w:ascii="Arial" w:eastAsia="Arial" w:hAnsi="Arial" w:cs="Arial"/>
          <w:color w:val="000000"/>
          <w:sz w:val="22"/>
          <w:szCs w:val="22"/>
        </w:rPr>
        <w:t xml:space="preserve"> into clean tubes. The PE buffer tubes were then diluted to 1/10X. </w:t>
      </w:r>
    </w:p>
    <w:p w:rsidR="00E279C2" w:rsidRDefault="00504627">
      <w:pPr>
        <w:spacing w:line="480" w:lineRule="auto"/>
        <w:rPr>
          <w:rFonts w:ascii="Arial" w:eastAsia="Arial" w:hAnsi="Arial" w:cs="Arial"/>
          <w:sz w:val="22"/>
          <w:szCs w:val="22"/>
        </w:rPr>
      </w:pPr>
      <w:r>
        <w:rPr>
          <w:rFonts w:ascii="Arial" w:eastAsia="Arial" w:hAnsi="Arial" w:cs="Arial"/>
          <w:b/>
          <w:sz w:val="22"/>
          <w:szCs w:val="22"/>
        </w:rPr>
        <w:t>Table A1. List of buffer conditions for each assay</w:t>
      </w:r>
    </w:p>
    <w:p w:rsidR="00E279C2" w:rsidRDefault="00E279C2">
      <w:pPr>
        <w:rPr>
          <w:rFonts w:ascii="Arial" w:eastAsia="Arial" w:hAnsi="Arial" w:cs="Arial"/>
          <w:sz w:val="22"/>
          <w:szCs w:val="22"/>
        </w:rPr>
      </w:pPr>
    </w:p>
    <w:tbl>
      <w:tblPr>
        <w:tblStyle w:val="a1"/>
        <w:tblW w:w="4590" w:type="dxa"/>
        <w:tblLayout w:type="fixed"/>
        <w:tblLook w:val="0400" w:firstRow="0" w:lastRow="0" w:firstColumn="0" w:lastColumn="0" w:noHBand="0" w:noVBand="1"/>
      </w:tblPr>
      <w:tblGrid>
        <w:gridCol w:w="2310"/>
        <w:gridCol w:w="1020"/>
        <w:gridCol w:w="1260"/>
      </w:tblGrid>
      <w:tr w:rsidR="00E279C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jc w:val="center"/>
              <w:rPr>
                <w:rFonts w:ascii="Arial" w:eastAsia="Arial" w:hAnsi="Arial" w:cs="Arial"/>
                <w:sz w:val="22"/>
                <w:szCs w:val="22"/>
              </w:rPr>
            </w:pPr>
            <w:r>
              <w:rPr>
                <w:rFonts w:ascii="Arial" w:eastAsia="Arial" w:hAnsi="Arial" w:cs="Arial"/>
                <w:b/>
                <w:sz w:val="22"/>
                <w:szCs w:val="22"/>
              </w:rPr>
              <w:t>Assay</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jc w:val="center"/>
              <w:rPr>
                <w:rFonts w:ascii="Arial" w:eastAsia="Arial" w:hAnsi="Arial" w:cs="Arial"/>
                <w:sz w:val="22"/>
                <w:szCs w:val="22"/>
              </w:rPr>
            </w:pPr>
            <w:r>
              <w:rPr>
                <w:rFonts w:ascii="Arial" w:eastAsia="Arial" w:hAnsi="Arial" w:cs="Arial"/>
                <w:b/>
                <w:sz w:val="22"/>
                <w:szCs w:val="22"/>
              </w:rPr>
              <w:t>Buffer</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jc w:val="center"/>
              <w:rPr>
                <w:rFonts w:ascii="Arial" w:eastAsia="Arial" w:hAnsi="Arial" w:cs="Arial"/>
                <w:sz w:val="22"/>
                <w:szCs w:val="22"/>
              </w:rPr>
            </w:pPr>
            <w:r>
              <w:rPr>
                <w:rFonts w:ascii="Arial" w:eastAsia="Arial" w:hAnsi="Arial" w:cs="Arial"/>
                <w:b/>
                <w:sz w:val="22"/>
                <w:szCs w:val="22"/>
              </w:rPr>
              <w:t>Dilution</w:t>
            </w:r>
          </w:p>
        </w:tc>
      </w:tr>
      <w:tr w:rsidR="00E279C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rPr>
                <w:rFonts w:ascii="Arial" w:eastAsia="Arial" w:hAnsi="Arial" w:cs="Arial"/>
                <w:sz w:val="22"/>
                <w:szCs w:val="22"/>
              </w:rPr>
            </w:pPr>
            <w:r>
              <w:rPr>
                <w:rFonts w:ascii="Arial" w:eastAsia="Arial" w:hAnsi="Arial" w:cs="Arial"/>
                <w:sz w:val="22"/>
                <w:szCs w:val="22"/>
              </w:rPr>
              <w:t>Protein Quantification</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rPr>
                <w:rFonts w:ascii="Arial" w:eastAsia="Arial" w:hAnsi="Arial" w:cs="Arial"/>
                <w:sz w:val="22"/>
                <w:szCs w:val="22"/>
              </w:rPr>
            </w:pPr>
            <w:r>
              <w:rPr>
                <w:rFonts w:ascii="Arial" w:eastAsia="Arial" w:hAnsi="Arial" w:cs="Arial"/>
                <w:sz w:val="22"/>
                <w:szCs w:val="22"/>
              </w:rPr>
              <w:t xml:space="preserve">PE </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rPr>
                <w:rFonts w:ascii="Arial" w:eastAsia="Arial" w:hAnsi="Arial" w:cs="Arial"/>
                <w:sz w:val="22"/>
                <w:szCs w:val="22"/>
              </w:rPr>
            </w:pPr>
            <w:r>
              <w:rPr>
                <w:rFonts w:ascii="Arial" w:eastAsia="Arial" w:hAnsi="Arial" w:cs="Arial"/>
                <w:sz w:val="22"/>
                <w:szCs w:val="22"/>
              </w:rPr>
              <w:t>0.1x</w:t>
            </w:r>
          </w:p>
        </w:tc>
      </w:tr>
      <w:tr w:rsidR="00E279C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rPr>
                <w:rFonts w:ascii="Arial" w:eastAsia="Arial" w:hAnsi="Arial" w:cs="Arial"/>
                <w:sz w:val="22"/>
                <w:szCs w:val="22"/>
              </w:rPr>
            </w:pPr>
            <w:r>
              <w:rPr>
                <w:rFonts w:ascii="Arial" w:eastAsia="Arial" w:hAnsi="Arial" w:cs="Arial"/>
                <w:sz w:val="22"/>
                <w:szCs w:val="22"/>
              </w:rPr>
              <w:t>Polyphenol Oxidase</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rPr>
                <w:rFonts w:ascii="Arial" w:eastAsia="Arial" w:hAnsi="Arial" w:cs="Arial"/>
                <w:sz w:val="22"/>
                <w:szCs w:val="22"/>
              </w:rPr>
            </w:pPr>
            <w:r>
              <w:rPr>
                <w:rFonts w:ascii="Arial" w:eastAsia="Arial" w:hAnsi="Arial" w:cs="Arial"/>
                <w:sz w:val="22"/>
                <w:szCs w:val="22"/>
              </w:rPr>
              <w:t>PE</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rPr>
                <w:rFonts w:ascii="Arial" w:eastAsia="Arial" w:hAnsi="Arial" w:cs="Arial"/>
                <w:sz w:val="22"/>
                <w:szCs w:val="22"/>
              </w:rPr>
            </w:pPr>
            <w:r>
              <w:rPr>
                <w:rFonts w:ascii="Arial" w:eastAsia="Arial" w:hAnsi="Arial" w:cs="Arial"/>
                <w:sz w:val="22"/>
                <w:szCs w:val="22"/>
              </w:rPr>
              <w:t>0.1x</w:t>
            </w:r>
          </w:p>
        </w:tc>
      </w:tr>
      <w:tr w:rsidR="00E279C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rPr>
                <w:rFonts w:ascii="Arial" w:eastAsia="Arial" w:hAnsi="Arial" w:cs="Arial"/>
                <w:sz w:val="22"/>
                <w:szCs w:val="22"/>
              </w:rPr>
            </w:pPr>
            <w:r>
              <w:rPr>
                <w:rFonts w:ascii="Arial" w:eastAsia="Arial" w:hAnsi="Arial" w:cs="Arial"/>
                <w:sz w:val="22"/>
                <w:szCs w:val="22"/>
              </w:rPr>
              <w:t>Peroxidase</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rPr>
                <w:rFonts w:ascii="Arial" w:eastAsia="Arial" w:hAnsi="Arial" w:cs="Arial"/>
                <w:sz w:val="22"/>
                <w:szCs w:val="22"/>
              </w:rPr>
            </w:pPr>
            <w:r>
              <w:rPr>
                <w:rFonts w:ascii="Arial" w:eastAsia="Arial" w:hAnsi="Arial" w:cs="Arial"/>
                <w:sz w:val="22"/>
                <w:szCs w:val="22"/>
              </w:rPr>
              <w:t>PE</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rPr>
                <w:rFonts w:ascii="Arial" w:eastAsia="Arial" w:hAnsi="Arial" w:cs="Arial"/>
                <w:sz w:val="22"/>
                <w:szCs w:val="22"/>
              </w:rPr>
            </w:pPr>
            <w:r>
              <w:rPr>
                <w:rFonts w:ascii="Arial" w:eastAsia="Arial" w:hAnsi="Arial" w:cs="Arial"/>
                <w:sz w:val="22"/>
                <w:szCs w:val="22"/>
              </w:rPr>
              <w:t>0.1x</w:t>
            </w:r>
          </w:p>
        </w:tc>
      </w:tr>
      <w:tr w:rsidR="00E279C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BF7E21">
            <w:pPr>
              <w:rPr>
                <w:rFonts w:ascii="Arial" w:eastAsia="Arial" w:hAnsi="Arial" w:cs="Arial"/>
                <w:sz w:val="22"/>
                <w:szCs w:val="22"/>
              </w:rPr>
            </w:pPr>
            <w:r>
              <w:rPr>
                <w:rFonts w:ascii="Arial" w:eastAsia="Arial" w:hAnsi="Arial" w:cs="Arial"/>
                <w:sz w:val="22"/>
                <w:szCs w:val="22"/>
              </w:rPr>
              <w:t>Prote</w:t>
            </w:r>
            <w:r w:rsidR="00504627">
              <w:rPr>
                <w:rFonts w:ascii="Arial" w:eastAsia="Arial" w:hAnsi="Arial" w:cs="Arial"/>
                <w:sz w:val="22"/>
                <w:szCs w:val="22"/>
              </w:rPr>
              <w:t>ase Inhibitor</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rPr>
                <w:rFonts w:ascii="Arial" w:eastAsia="Arial" w:hAnsi="Arial" w:cs="Arial"/>
                <w:sz w:val="22"/>
                <w:szCs w:val="22"/>
              </w:rPr>
            </w:pPr>
            <w:r>
              <w:rPr>
                <w:rFonts w:ascii="Arial" w:eastAsia="Arial" w:hAnsi="Arial" w:cs="Arial"/>
                <w:sz w:val="22"/>
                <w:szCs w:val="22"/>
              </w:rPr>
              <w:t>PE</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rPr>
                <w:rFonts w:ascii="Arial" w:eastAsia="Arial" w:hAnsi="Arial" w:cs="Arial"/>
                <w:sz w:val="22"/>
                <w:szCs w:val="22"/>
              </w:rPr>
            </w:pPr>
            <w:r>
              <w:rPr>
                <w:rFonts w:ascii="Arial" w:eastAsia="Arial" w:hAnsi="Arial" w:cs="Arial"/>
                <w:sz w:val="22"/>
                <w:szCs w:val="22"/>
              </w:rPr>
              <w:t>0.1x</w:t>
            </w:r>
          </w:p>
        </w:tc>
      </w:tr>
      <w:tr w:rsidR="00E279C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rPr>
                <w:rFonts w:ascii="Arial" w:eastAsia="Arial" w:hAnsi="Arial" w:cs="Arial"/>
                <w:sz w:val="22"/>
                <w:szCs w:val="22"/>
              </w:rPr>
            </w:pPr>
            <w:r>
              <w:rPr>
                <w:rFonts w:ascii="Arial" w:eastAsia="Arial" w:hAnsi="Arial" w:cs="Arial"/>
                <w:sz w:val="22"/>
                <w:szCs w:val="22"/>
              </w:rPr>
              <w:t>Hydrogen Peroxide</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rPr>
                <w:rFonts w:ascii="Arial" w:eastAsia="Arial" w:hAnsi="Arial" w:cs="Arial"/>
                <w:sz w:val="22"/>
                <w:szCs w:val="22"/>
              </w:rPr>
            </w:pPr>
            <w:r>
              <w:rPr>
                <w:rFonts w:ascii="Arial" w:eastAsia="Arial" w:hAnsi="Arial" w:cs="Arial"/>
                <w:sz w:val="22"/>
                <w:szCs w:val="22"/>
              </w:rPr>
              <w:t>TCA</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79C2" w:rsidRDefault="00504627">
            <w:pPr>
              <w:rPr>
                <w:rFonts w:ascii="Arial" w:eastAsia="Arial" w:hAnsi="Arial" w:cs="Arial"/>
                <w:sz w:val="22"/>
                <w:szCs w:val="22"/>
              </w:rPr>
            </w:pPr>
            <w:r>
              <w:rPr>
                <w:rFonts w:ascii="Arial" w:eastAsia="Arial" w:hAnsi="Arial" w:cs="Arial"/>
                <w:sz w:val="22"/>
                <w:szCs w:val="22"/>
              </w:rPr>
              <w:t>1x</w:t>
            </w:r>
          </w:p>
        </w:tc>
      </w:tr>
    </w:tbl>
    <w:p w:rsidR="00E279C2" w:rsidRDefault="00E279C2">
      <w:pPr>
        <w:spacing w:line="480" w:lineRule="auto"/>
        <w:rPr>
          <w:rFonts w:ascii="Arial" w:eastAsia="Arial" w:hAnsi="Arial" w:cs="Arial"/>
          <w:b/>
          <w:sz w:val="22"/>
          <w:szCs w:val="22"/>
        </w:rPr>
      </w:pPr>
    </w:p>
    <w:p w:rsidR="00E279C2" w:rsidRDefault="00504627">
      <w:pPr>
        <w:pBdr>
          <w:top w:val="nil"/>
          <w:left w:val="nil"/>
          <w:bottom w:val="nil"/>
          <w:right w:val="nil"/>
          <w:between w:val="nil"/>
        </w:pBdr>
        <w:spacing w:line="480" w:lineRule="auto"/>
        <w:rPr>
          <w:rFonts w:ascii="Arial" w:eastAsia="Arial" w:hAnsi="Arial" w:cs="Arial"/>
          <w:b/>
          <w:i/>
          <w:color w:val="000000"/>
          <w:sz w:val="22"/>
          <w:szCs w:val="22"/>
        </w:rPr>
      </w:pPr>
      <w:r>
        <w:rPr>
          <w:rFonts w:ascii="Arial" w:eastAsia="Arial" w:hAnsi="Arial" w:cs="Arial"/>
          <w:b/>
          <w:i/>
          <w:sz w:val="22"/>
          <w:szCs w:val="22"/>
        </w:rPr>
        <w:t>Assays</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i/>
          <w:color w:val="000000"/>
          <w:sz w:val="22"/>
          <w:szCs w:val="22"/>
        </w:rPr>
        <w:t>Protein Quantification</w:t>
      </w:r>
    </w:p>
    <w:p w:rsidR="00E279C2" w:rsidRDefault="00504627">
      <w:pPr>
        <w:numPr>
          <w:ilvl w:val="0"/>
          <w:numId w:val="5"/>
        </w:numPr>
        <w:pBdr>
          <w:top w:val="nil"/>
          <w:left w:val="nil"/>
          <w:bottom w:val="nil"/>
          <w:right w:val="nil"/>
          <w:between w:val="nil"/>
        </w:pBdr>
        <w:spacing w:line="480" w:lineRule="auto"/>
        <w:contextualSpacing/>
        <w:rPr>
          <w:rFonts w:ascii="Arial" w:eastAsia="Arial" w:hAnsi="Arial" w:cs="Arial"/>
          <w:color w:val="000000"/>
          <w:sz w:val="22"/>
          <w:szCs w:val="22"/>
        </w:rPr>
      </w:pPr>
      <w:r>
        <w:rPr>
          <w:rFonts w:ascii="Arial" w:eastAsia="Arial" w:hAnsi="Arial" w:cs="Arial"/>
          <w:color w:val="000000"/>
          <w:sz w:val="22"/>
          <w:szCs w:val="22"/>
        </w:rPr>
        <w:t>Protein quantification was performed using the Thermo Scientific</w:t>
      </w:r>
      <w:r>
        <w:rPr>
          <w:rFonts w:ascii="Arial" w:eastAsia="Arial" w:hAnsi="Arial" w:cs="Arial"/>
          <w:color w:val="000000"/>
          <w:sz w:val="22"/>
          <w:szCs w:val="22"/>
          <w:vertAlign w:val="superscript"/>
        </w:rPr>
        <w:t> </w:t>
      </w:r>
      <w:r>
        <w:rPr>
          <w:rFonts w:ascii="Arial" w:eastAsia="Arial" w:hAnsi="Arial" w:cs="Arial"/>
          <w:color w:val="000000"/>
          <w:sz w:val="22"/>
          <w:szCs w:val="22"/>
        </w:rPr>
        <w:t>Pierce</w:t>
      </w:r>
      <w:r>
        <w:rPr>
          <w:rFonts w:ascii="Arial" w:eastAsia="Arial" w:hAnsi="Arial" w:cs="Arial"/>
          <w:color w:val="000000"/>
          <w:sz w:val="22"/>
          <w:szCs w:val="22"/>
          <w:vertAlign w:val="superscript"/>
        </w:rPr>
        <w:t>TM</w:t>
      </w:r>
      <w:r>
        <w:rPr>
          <w:rFonts w:ascii="Arial" w:eastAsia="Arial" w:hAnsi="Arial" w:cs="Arial"/>
          <w:color w:val="000000"/>
          <w:sz w:val="22"/>
          <w:szCs w:val="22"/>
        </w:rPr>
        <w:t xml:space="preserve"> BCA Protein Assay Kit (Product number: 23337) according to manufacturer instructions for microplate samples. D</w:t>
      </w:r>
      <w:r>
        <w:rPr>
          <w:rFonts w:ascii="Arial" w:eastAsia="Arial" w:hAnsi="Arial" w:cs="Arial"/>
          <w:sz w:val="22"/>
          <w:szCs w:val="22"/>
        </w:rPr>
        <w:t>ue to the general nature of our buffer, other protein quantification methods (e.g.  Bradford 1976; Peterson 1977) can be used.</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i/>
          <w:color w:val="000000"/>
          <w:sz w:val="22"/>
          <w:szCs w:val="22"/>
        </w:rPr>
        <w:lastRenderedPageBreak/>
        <w:t>Peroxidase (POD) Activity</w:t>
      </w:r>
      <w:r>
        <w:rPr>
          <w:rFonts w:ascii="Arial" w:eastAsia="Arial" w:hAnsi="Arial" w:cs="Arial"/>
          <w:color w:val="000000"/>
          <w:sz w:val="22"/>
          <w:szCs w:val="22"/>
          <w:u w:val="single"/>
        </w:rPr>
        <w:t xml:space="preserve"> </w:t>
      </w:r>
    </w:p>
    <w:p w:rsidR="00E279C2" w:rsidRDefault="00504627">
      <w:pPr>
        <w:numPr>
          <w:ilvl w:val="0"/>
          <w:numId w:val="6"/>
        </w:numPr>
        <w:pBdr>
          <w:top w:val="nil"/>
          <w:left w:val="nil"/>
          <w:bottom w:val="nil"/>
          <w:right w:val="nil"/>
          <w:between w:val="nil"/>
        </w:pBdr>
        <w:spacing w:line="480" w:lineRule="auto"/>
        <w:contextualSpacing/>
        <w:rPr>
          <w:rFonts w:ascii="Arial" w:eastAsia="Arial" w:hAnsi="Arial" w:cs="Arial"/>
          <w:color w:val="000000"/>
          <w:sz w:val="22"/>
          <w:szCs w:val="22"/>
        </w:rPr>
      </w:pPr>
      <w:r>
        <w:rPr>
          <w:rFonts w:ascii="Arial" w:eastAsia="Arial" w:hAnsi="Arial" w:cs="Arial"/>
          <w:color w:val="000000"/>
          <w:sz w:val="22"/>
          <w:szCs w:val="22"/>
        </w:rPr>
        <w:t xml:space="preserve">Sample aliquots </w:t>
      </w:r>
      <w:r w:rsidR="00B0322E">
        <w:rPr>
          <w:rFonts w:ascii="Arial" w:eastAsia="Arial" w:hAnsi="Arial" w:cs="Arial"/>
          <w:color w:val="000000"/>
          <w:sz w:val="22"/>
          <w:szCs w:val="22"/>
        </w:rPr>
        <w:t>are</w:t>
      </w:r>
      <w:r>
        <w:rPr>
          <w:rFonts w:ascii="Arial" w:eastAsia="Arial" w:hAnsi="Arial" w:cs="Arial"/>
          <w:color w:val="000000"/>
          <w:sz w:val="22"/>
          <w:szCs w:val="22"/>
        </w:rPr>
        <w:t xml:space="preserve"> taken from the 1/10x PE buffer extraction. All reactions are run in triplicate. </w:t>
      </w:r>
    </w:p>
    <w:p w:rsidR="00E279C2" w:rsidRDefault="00504627">
      <w:pPr>
        <w:numPr>
          <w:ilvl w:val="0"/>
          <w:numId w:val="6"/>
        </w:numPr>
        <w:pBdr>
          <w:top w:val="nil"/>
          <w:left w:val="nil"/>
          <w:bottom w:val="nil"/>
          <w:right w:val="nil"/>
          <w:between w:val="nil"/>
        </w:pBdr>
        <w:spacing w:line="480" w:lineRule="auto"/>
        <w:contextualSpacing/>
        <w:rPr>
          <w:rFonts w:ascii="Arial" w:eastAsia="Arial" w:hAnsi="Arial" w:cs="Arial"/>
          <w:color w:val="000000"/>
          <w:sz w:val="22"/>
          <w:szCs w:val="22"/>
        </w:rPr>
      </w:pPr>
      <w:r>
        <w:rPr>
          <w:rFonts w:ascii="Arial" w:eastAsia="Arial" w:hAnsi="Arial" w:cs="Arial"/>
          <w:sz w:val="22"/>
          <w:szCs w:val="22"/>
        </w:rPr>
        <w:t xml:space="preserve">Create sample master mix by multiplying reaction components by total number of reactions + 1. Reaction components are as follows: 143 µL of peroxidase buffer (100 mM sodium phosphate buffer (pH 6.5) containing 5 mM guaiacol. </w:t>
      </w:r>
    </w:p>
    <w:p w:rsidR="00E279C2" w:rsidRDefault="00504627">
      <w:pPr>
        <w:numPr>
          <w:ilvl w:val="0"/>
          <w:numId w:val="6"/>
        </w:numPr>
        <w:pBdr>
          <w:top w:val="nil"/>
          <w:left w:val="nil"/>
          <w:bottom w:val="nil"/>
          <w:right w:val="nil"/>
          <w:between w:val="nil"/>
        </w:pBdr>
        <w:spacing w:line="480" w:lineRule="auto"/>
        <w:contextualSpacing/>
        <w:rPr>
          <w:rFonts w:ascii="Arial" w:eastAsia="Arial" w:hAnsi="Arial" w:cs="Arial"/>
          <w:sz w:val="22"/>
          <w:szCs w:val="22"/>
        </w:rPr>
      </w:pPr>
      <w:r>
        <w:rPr>
          <w:rFonts w:ascii="Arial" w:eastAsia="Arial" w:hAnsi="Arial" w:cs="Arial"/>
          <w:sz w:val="22"/>
          <w:szCs w:val="22"/>
        </w:rPr>
        <w:t xml:space="preserve">Create control master mix by multiplying reagent components by total number of control reactions + 1. Reaction components are as follows: 143 µL of 100mM sodium phosphate buffer (ph 6.5). </w:t>
      </w:r>
    </w:p>
    <w:p w:rsidR="00E279C2" w:rsidRDefault="00504627">
      <w:pPr>
        <w:numPr>
          <w:ilvl w:val="0"/>
          <w:numId w:val="6"/>
        </w:numPr>
        <w:spacing w:line="480" w:lineRule="auto"/>
        <w:contextualSpacing/>
        <w:rPr>
          <w:rFonts w:ascii="Arial" w:eastAsia="Arial" w:hAnsi="Arial" w:cs="Arial"/>
          <w:sz w:val="22"/>
          <w:szCs w:val="22"/>
        </w:rPr>
      </w:pPr>
      <w:r>
        <w:rPr>
          <w:rFonts w:ascii="Arial" w:eastAsia="Arial" w:hAnsi="Arial" w:cs="Arial"/>
          <w:sz w:val="22"/>
          <w:szCs w:val="22"/>
        </w:rPr>
        <w:t>Aliquot 143 µL of each master mix (triplicate) to separate wells in a 96 well plate.</w:t>
      </w:r>
    </w:p>
    <w:p w:rsidR="00E279C2" w:rsidRDefault="00504627">
      <w:pPr>
        <w:numPr>
          <w:ilvl w:val="0"/>
          <w:numId w:val="6"/>
        </w:numPr>
        <w:spacing w:line="480" w:lineRule="auto"/>
        <w:contextualSpacing/>
        <w:rPr>
          <w:rFonts w:ascii="Arial" w:eastAsia="Arial" w:hAnsi="Arial" w:cs="Arial"/>
          <w:sz w:val="22"/>
          <w:szCs w:val="22"/>
        </w:rPr>
      </w:pPr>
      <w:r>
        <w:rPr>
          <w:rFonts w:ascii="Arial" w:eastAsia="Arial" w:hAnsi="Arial" w:cs="Arial"/>
          <w:sz w:val="22"/>
          <w:szCs w:val="22"/>
        </w:rPr>
        <w:t>Add 25 µL of supernatant (enzyme source) to each well and then add 32 µL of 5 mM H</w:t>
      </w:r>
      <w:r>
        <w:rPr>
          <w:rFonts w:ascii="Arial" w:eastAsia="Arial" w:hAnsi="Arial" w:cs="Arial"/>
          <w:sz w:val="22"/>
          <w:szCs w:val="22"/>
          <w:vertAlign w:val="subscript"/>
        </w:rPr>
        <w:t>2</w:t>
      </w:r>
      <w:r>
        <w:rPr>
          <w:rFonts w:ascii="Arial" w:eastAsia="Arial" w:hAnsi="Arial" w:cs="Arial"/>
          <w:sz w:val="22"/>
          <w:szCs w:val="22"/>
        </w:rPr>
        <w:t>O</w:t>
      </w:r>
      <w:r>
        <w:rPr>
          <w:rFonts w:ascii="Arial" w:eastAsia="Arial" w:hAnsi="Arial" w:cs="Arial"/>
          <w:sz w:val="22"/>
          <w:szCs w:val="22"/>
          <w:vertAlign w:val="subscript"/>
        </w:rPr>
        <w:t xml:space="preserve">2 </w:t>
      </w:r>
      <w:r>
        <w:rPr>
          <w:rFonts w:ascii="Arial" w:eastAsia="Arial" w:hAnsi="Arial" w:cs="Arial"/>
          <w:sz w:val="22"/>
          <w:szCs w:val="22"/>
        </w:rPr>
        <w:t>(final concentration 0.8 mM).</w:t>
      </w:r>
    </w:p>
    <w:p w:rsidR="00E279C2" w:rsidRDefault="00504627">
      <w:pPr>
        <w:numPr>
          <w:ilvl w:val="0"/>
          <w:numId w:val="6"/>
        </w:numPr>
        <w:spacing w:line="480" w:lineRule="auto"/>
        <w:contextualSpacing/>
        <w:rPr>
          <w:rFonts w:ascii="Arial" w:eastAsia="Arial" w:hAnsi="Arial" w:cs="Arial"/>
          <w:sz w:val="22"/>
          <w:szCs w:val="22"/>
        </w:rPr>
      </w:pPr>
      <w:r>
        <w:rPr>
          <w:rFonts w:ascii="Arial" w:eastAsia="Arial" w:hAnsi="Arial" w:cs="Arial"/>
          <w:sz w:val="22"/>
          <w:szCs w:val="22"/>
        </w:rPr>
        <w:t>Incubate the plates in the dark for 15 minutes at room temperature.</w:t>
      </w:r>
    </w:p>
    <w:p w:rsidR="00E279C2" w:rsidRDefault="00504627">
      <w:pPr>
        <w:numPr>
          <w:ilvl w:val="0"/>
          <w:numId w:val="6"/>
        </w:numPr>
        <w:spacing w:line="480" w:lineRule="auto"/>
        <w:contextualSpacing/>
        <w:rPr>
          <w:rFonts w:ascii="Arial" w:eastAsia="Arial" w:hAnsi="Arial" w:cs="Arial"/>
          <w:sz w:val="22"/>
          <w:szCs w:val="22"/>
        </w:rPr>
      </w:pPr>
      <w:r>
        <w:rPr>
          <w:rFonts w:ascii="Arial" w:eastAsia="Arial" w:hAnsi="Arial" w:cs="Arial"/>
          <w:sz w:val="22"/>
          <w:szCs w:val="22"/>
        </w:rPr>
        <w:t>Read a</w:t>
      </w:r>
      <w:r>
        <w:rPr>
          <w:rFonts w:ascii="Arial" w:eastAsia="Arial" w:hAnsi="Arial" w:cs="Arial"/>
          <w:color w:val="000000"/>
          <w:sz w:val="22"/>
          <w:szCs w:val="22"/>
        </w:rPr>
        <w:t>bsorbance at 470 nm on the microplate reader and express enzyme content as [(Abs</w:t>
      </w:r>
      <w:r>
        <w:rPr>
          <w:rFonts w:ascii="Arial" w:eastAsia="Arial" w:hAnsi="Arial" w:cs="Arial"/>
          <w:sz w:val="22"/>
          <w:szCs w:val="22"/>
          <w:vertAlign w:val="subscript"/>
        </w:rPr>
        <w:t>Spl</w:t>
      </w:r>
      <w:r>
        <w:rPr>
          <w:rFonts w:ascii="Arial" w:eastAsia="Arial" w:hAnsi="Arial" w:cs="Arial"/>
          <w:color w:val="000000"/>
          <w:sz w:val="22"/>
          <w:szCs w:val="22"/>
        </w:rPr>
        <w:t xml:space="preserve"> - Abs</w:t>
      </w:r>
      <w:r>
        <w:rPr>
          <w:rFonts w:ascii="Arial" w:eastAsia="Arial" w:hAnsi="Arial" w:cs="Arial"/>
          <w:color w:val="000000"/>
          <w:sz w:val="22"/>
          <w:szCs w:val="22"/>
          <w:vertAlign w:val="subscript"/>
        </w:rPr>
        <w:t>Ctrl</w:t>
      </w:r>
      <w:r>
        <w:rPr>
          <w:rFonts w:ascii="Arial" w:eastAsia="Arial" w:hAnsi="Arial" w:cs="Arial"/>
          <w:color w:val="000000"/>
          <w:sz w:val="22"/>
          <w:szCs w:val="22"/>
        </w:rPr>
        <w:t xml:space="preserve">)/FW] (Abs/g). FW denotes fresh weight. </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i/>
          <w:color w:val="000000"/>
          <w:sz w:val="22"/>
          <w:szCs w:val="22"/>
        </w:rPr>
      </w:pPr>
      <w:r>
        <w:rPr>
          <w:rFonts w:ascii="Arial" w:eastAsia="Arial" w:hAnsi="Arial" w:cs="Arial"/>
          <w:i/>
          <w:color w:val="000000"/>
          <w:sz w:val="22"/>
          <w:szCs w:val="22"/>
        </w:rPr>
        <w:t xml:space="preserve">Polyphenol Oxidase (PPO) Activity </w:t>
      </w:r>
    </w:p>
    <w:p w:rsidR="00E279C2" w:rsidRDefault="00504627">
      <w:pPr>
        <w:numPr>
          <w:ilvl w:val="0"/>
          <w:numId w:val="7"/>
        </w:numPr>
        <w:spacing w:line="480" w:lineRule="auto"/>
        <w:contextualSpacing/>
        <w:rPr>
          <w:rFonts w:ascii="Arial" w:eastAsia="Arial" w:hAnsi="Arial" w:cs="Arial"/>
          <w:sz w:val="22"/>
          <w:szCs w:val="22"/>
        </w:rPr>
      </w:pPr>
      <w:r>
        <w:rPr>
          <w:rFonts w:ascii="Arial" w:eastAsia="Arial" w:hAnsi="Arial" w:cs="Arial"/>
          <w:sz w:val="22"/>
          <w:szCs w:val="22"/>
        </w:rPr>
        <w:t xml:space="preserve">Sample aliquots </w:t>
      </w:r>
      <w:r w:rsidR="00B0322E">
        <w:rPr>
          <w:rFonts w:ascii="Arial" w:eastAsia="Arial" w:hAnsi="Arial" w:cs="Arial"/>
          <w:sz w:val="22"/>
          <w:szCs w:val="22"/>
        </w:rPr>
        <w:t>are</w:t>
      </w:r>
      <w:r>
        <w:rPr>
          <w:rFonts w:ascii="Arial" w:eastAsia="Arial" w:hAnsi="Arial" w:cs="Arial"/>
          <w:sz w:val="22"/>
          <w:szCs w:val="22"/>
        </w:rPr>
        <w:t xml:space="preserve"> taken from the 1/10x PE buffer extraction. All reactions are run in triplicate.</w:t>
      </w:r>
    </w:p>
    <w:p w:rsidR="00E279C2" w:rsidRDefault="00504627">
      <w:pPr>
        <w:numPr>
          <w:ilvl w:val="0"/>
          <w:numId w:val="7"/>
        </w:numPr>
        <w:spacing w:line="480" w:lineRule="auto"/>
        <w:contextualSpacing/>
        <w:rPr>
          <w:rFonts w:ascii="Arial" w:eastAsia="Arial" w:hAnsi="Arial" w:cs="Arial"/>
          <w:sz w:val="22"/>
          <w:szCs w:val="22"/>
        </w:rPr>
      </w:pPr>
      <w:r>
        <w:rPr>
          <w:rFonts w:ascii="Arial" w:eastAsia="Arial" w:hAnsi="Arial" w:cs="Arial"/>
          <w:sz w:val="22"/>
          <w:szCs w:val="22"/>
        </w:rPr>
        <w:t xml:space="preserve">Create sample master mix by multiplying reaction components by total number of reactions + 1. Reaction components are as follows: 115 µL of 100 mM sodium phosphate buffer (pH 6.8) and </w:t>
      </w:r>
      <w:r>
        <w:rPr>
          <w:rFonts w:ascii="Arial" w:eastAsia="Arial" w:hAnsi="Arial" w:cs="Arial"/>
          <w:sz w:val="22"/>
          <w:szCs w:val="22"/>
          <w:highlight w:val="white"/>
        </w:rPr>
        <w:t>60</w:t>
      </w:r>
      <w:r>
        <w:rPr>
          <w:rFonts w:ascii="Arial" w:eastAsia="Arial" w:hAnsi="Arial" w:cs="Arial"/>
          <w:sz w:val="22"/>
          <w:szCs w:val="22"/>
        </w:rPr>
        <w:t xml:space="preserve"> µL of 50 mM pyrocatechol. </w:t>
      </w:r>
    </w:p>
    <w:p w:rsidR="00E279C2" w:rsidRDefault="00504627">
      <w:pPr>
        <w:numPr>
          <w:ilvl w:val="0"/>
          <w:numId w:val="7"/>
        </w:numPr>
        <w:spacing w:line="480" w:lineRule="auto"/>
        <w:contextualSpacing/>
        <w:rPr>
          <w:rFonts w:ascii="Arial" w:eastAsia="Arial" w:hAnsi="Arial" w:cs="Arial"/>
          <w:sz w:val="22"/>
          <w:szCs w:val="22"/>
        </w:rPr>
      </w:pPr>
      <w:r>
        <w:rPr>
          <w:rFonts w:ascii="Arial" w:eastAsia="Arial" w:hAnsi="Arial" w:cs="Arial"/>
          <w:sz w:val="22"/>
          <w:szCs w:val="22"/>
        </w:rPr>
        <w:t xml:space="preserve">Create control master mix by multiplying reagent components by total number of control reactions + 1. Reaction components are as follows: </w:t>
      </w:r>
      <w:r>
        <w:rPr>
          <w:rFonts w:ascii="Arial" w:eastAsia="Arial" w:hAnsi="Arial" w:cs="Arial"/>
          <w:sz w:val="22"/>
          <w:szCs w:val="22"/>
          <w:highlight w:val="white"/>
        </w:rPr>
        <w:t>175</w:t>
      </w:r>
      <w:r>
        <w:rPr>
          <w:rFonts w:ascii="Arial" w:eastAsia="Arial" w:hAnsi="Arial" w:cs="Arial"/>
          <w:sz w:val="22"/>
          <w:szCs w:val="22"/>
        </w:rPr>
        <w:t xml:space="preserve"> </w:t>
      </w:r>
      <w:r w:rsidR="00D81EFA">
        <w:rPr>
          <w:rFonts w:ascii="Arial" w:eastAsia="Arial" w:hAnsi="Arial" w:cs="Arial"/>
          <w:color w:val="000000"/>
          <w:sz w:val="22"/>
          <w:szCs w:val="22"/>
        </w:rPr>
        <w:t>µ</w:t>
      </w:r>
      <w:r>
        <w:rPr>
          <w:rFonts w:ascii="Arial" w:eastAsia="Arial" w:hAnsi="Arial" w:cs="Arial"/>
          <w:sz w:val="22"/>
          <w:szCs w:val="22"/>
        </w:rPr>
        <w:t>L of 100 mM sodium phosphate buffer (pH 6.8).</w:t>
      </w:r>
    </w:p>
    <w:p w:rsidR="00E279C2" w:rsidRDefault="00504627">
      <w:pPr>
        <w:numPr>
          <w:ilvl w:val="0"/>
          <w:numId w:val="7"/>
        </w:numPr>
        <w:spacing w:line="480" w:lineRule="auto"/>
        <w:contextualSpacing/>
        <w:rPr>
          <w:rFonts w:ascii="Arial" w:eastAsia="Arial" w:hAnsi="Arial" w:cs="Arial"/>
          <w:sz w:val="22"/>
          <w:szCs w:val="22"/>
        </w:rPr>
      </w:pPr>
      <w:r>
        <w:rPr>
          <w:rFonts w:ascii="Arial" w:eastAsia="Arial" w:hAnsi="Arial" w:cs="Arial"/>
          <w:sz w:val="22"/>
          <w:szCs w:val="22"/>
        </w:rPr>
        <w:lastRenderedPageBreak/>
        <w:t xml:space="preserve">Aliquot 175 µL of each master mix (triplicate) to separate wells in a 96 well plate. </w:t>
      </w:r>
    </w:p>
    <w:p w:rsidR="00E279C2" w:rsidRDefault="00504627">
      <w:pPr>
        <w:numPr>
          <w:ilvl w:val="0"/>
          <w:numId w:val="7"/>
        </w:numPr>
        <w:spacing w:line="480" w:lineRule="auto"/>
        <w:rPr>
          <w:rFonts w:ascii="Arial" w:eastAsia="Arial" w:hAnsi="Arial" w:cs="Arial"/>
          <w:sz w:val="22"/>
          <w:szCs w:val="22"/>
        </w:rPr>
      </w:pPr>
      <w:r>
        <w:rPr>
          <w:rFonts w:ascii="Arial" w:eastAsia="Arial" w:hAnsi="Arial" w:cs="Arial"/>
          <w:sz w:val="22"/>
          <w:szCs w:val="22"/>
        </w:rPr>
        <w:t xml:space="preserve">Add 25 µL of supernatant (enzyme source) to all wells and incubate for 5 minutes. </w:t>
      </w:r>
    </w:p>
    <w:p w:rsidR="00E279C2" w:rsidRDefault="00504627">
      <w:pPr>
        <w:numPr>
          <w:ilvl w:val="0"/>
          <w:numId w:val="7"/>
        </w:numPr>
        <w:spacing w:line="480" w:lineRule="auto"/>
        <w:rPr>
          <w:rFonts w:ascii="Arial" w:eastAsia="Arial" w:hAnsi="Arial" w:cs="Arial"/>
          <w:sz w:val="22"/>
          <w:szCs w:val="22"/>
        </w:rPr>
      </w:pPr>
      <w:r>
        <w:rPr>
          <w:rFonts w:ascii="Arial" w:eastAsia="Arial" w:hAnsi="Arial" w:cs="Arial"/>
          <w:sz w:val="22"/>
          <w:szCs w:val="22"/>
        </w:rPr>
        <w:t>Read a</w:t>
      </w:r>
      <w:r>
        <w:rPr>
          <w:rFonts w:ascii="Arial" w:eastAsia="Arial" w:hAnsi="Arial" w:cs="Arial"/>
          <w:color w:val="000000"/>
          <w:sz w:val="22"/>
          <w:szCs w:val="22"/>
        </w:rPr>
        <w:t>bsorbance on the microplate reader at 420 nm and express enzyme content as [(Abs</w:t>
      </w:r>
      <w:r>
        <w:rPr>
          <w:rFonts w:ascii="Arial" w:eastAsia="Arial" w:hAnsi="Arial" w:cs="Arial"/>
          <w:sz w:val="22"/>
          <w:szCs w:val="22"/>
          <w:vertAlign w:val="subscript"/>
        </w:rPr>
        <w:t>Spl</w:t>
      </w:r>
      <w:r>
        <w:rPr>
          <w:rFonts w:ascii="Arial" w:eastAsia="Arial" w:hAnsi="Arial" w:cs="Arial"/>
          <w:color w:val="000000"/>
          <w:sz w:val="22"/>
          <w:szCs w:val="22"/>
        </w:rPr>
        <w:t xml:space="preserve"> - Abs</w:t>
      </w:r>
      <w:r>
        <w:rPr>
          <w:rFonts w:ascii="Arial" w:eastAsia="Arial" w:hAnsi="Arial" w:cs="Arial"/>
          <w:color w:val="000000"/>
          <w:sz w:val="22"/>
          <w:szCs w:val="22"/>
          <w:vertAlign w:val="subscript"/>
        </w:rPr>
        <w:t>Ctrl</w:t>
      </w:r>
      <w:r>
        <w:rPr>
          <w:rFonts w:ascii="Arial" w:eastAsia="Arial" w:hAnsi="Arial" w:cs="Arial"/>
          <w:color w:val="000000"/>
          <w:sz w:val="22"/>
          <w:szCs w:val="22"/>
        </w:rPr>
        <w:t>)/FW] (Abs/g).</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i/>
          <w:color w:val="000000"/>
          <w:sz w:val="22"/>
          <w:szCs w:val="22"/>
        </w:rPr>
        <w:t>Hydrogen Peroxide (H</w:t>
      </w:r>
      <w:r>
        <w:rPr>
          <w:rFonts w:ascii="Arial" w:eastAsia="Arial" w:hAnsi="Arial" w:cs="Arial"/>
          <w:i/>
          <w:color w:val="000000"/>
          <w:sz w:val="22"/>
          <w:szCs w:val="22"/>
          <w:vertAlign w:val="subscript"/>
        </w:rPr>
        <w:t>2</w:t>
      </w:r>
      <w:r>
        <w:rPr>
          <w:rFonts w:ascii="Arial" w:eastAsia="Arial" w:hAnsi="Arial" w:cs="Arial"/>
          <w:i/>
          <w:color w:val="000000"/>
          <w:sz w:val="22"/>
          <w:szCs w:val="22"/>
        </w:rPr>
        <w:t>O</w:t>
      </w:r>
      <w:r>
        <w:rPr>
          <w:rFonts w:ascii="Arial" w:eastAsia="Arial" w:hAnsi="Arial" w:cs="Arial"/>
          <w:i/>
          <w:color w:val="000000"/>
          <w:sz w:val="22"/>
          <w:szCs w:val="22"/>
          <w:vertAlign w:val="subscript"/>
        </w:rPr>
        <w:t>2</w:t>
      </w:r>
      <w:r>
        <w:rPr>
          <w:rFonts w:ascii="Arial" w:eastAsia="Arial" w:hAnsi="Arial" w:cs="Arial"/>
          <w:i/>
          <w:color w:val="000000"/>
          <w:sz w:val="22"/>
          <w:szCs w:val="22"/>
        </w:rPr>
        <w:t>)</w:t>
      </w:r>
      <w:r>
        <w:rPr>
          <w:rFonts w:ascii="Arial" w:eastAsia="Arial" w:hAnsi="Arial" w:cs="Arial"/>
          <w:i/>
          <w:color w:val="000000"/>
          <w:sz w:val="22"/>
          <w:szCs w:val="22"/>
          <w:vertAlign w:val="subscript"/>
        </w:rPr>
        <w:t xml:space="preserve"> </w:t>
      </w:r>
      <w:r>
        <w:rPr>
          <w:rFonts w:ascii="Arial" w:eastAsia="Arial" w:hAnsi="Arial" w:cs="Arial"/>
          <w:i/>
          <w:color w:val="000000"/>
          <w:sz w:val="22"/>
          <w:szCs w:val="22"/>
        </w:rPr>
        <w:t>Quantification</w:t>
      </w:r>
    </w:p>
    <w:p w:rsidR="00E279C2" w:rsidRDefault="00504627">
      <w:pPr>
        <w:numPr>
          <w:ilvl w:val="0"/>
          <w:numId w:val="4"/>
        </w:numPr>
        <w:spacing w:line="480" w:lineRule="auto"/>
        <w:contextualSpacing/>
        <w:rPr>
          <w:rFonts w:ascii="Arial" w:eastAsia="Arial" w:hAnsi="Arial" w:cs="Arial"/>
          <w:sz w:val="22"/>
          <w:szCs w:val="22"/>
        </w:rPr>
      </w:pPr>
      <w:r>
        <w:rPr>
          <w:rFonts w:ascii="Arial" w:eastAsia="Arial" w:hAnsi="Arial" w:cs="Arial"/>
          <w:sz w:val="22"/>
          <w:szCs w:val="22"/>
        </w:rPr>
        <w:t xml:space="preserve">Generate a standard curve using a mix containing 100 µL of 1M potassium iodide (KI), 50 µL of 10mM Potassium Phosphate buffer (pH 6.5), and 50 µL of 0.1% TCA per well. Spike each well with a known quantity of hydrogen peroxide from dilutions of 3% stock. </w:t>
      </w:r>
    </w:p>
    <w:p w:rsidR="00E279C2" w:rsidRDefault="00504627">
      <w:pPr>
        <w:numPr>
          <w:ilvl w:val="0"/>
          <w:numId w:val="4"/>
        </w:numPr>
        <w:spacing w:line="480" w:lineRule="auto"/>
        <w:contextualSpacing/>
        <w:rPr>
          <w:rFonts w:ascii="Arial" w:eastAsia="Arial" w:hAnsi="Arial" w:cs="Arial"/>
          <w:sz w:val="22"/>
          <w:szCs w:val="22"/>
        </w:rPr>
      </w:pPr>
      <w:r>
        <w:rPr>
          <w:rFonts w:ascii="Arial" w:eastAsia="Arial" w:hAnsi="Arial" w:cs="Arial"/>
          <w:sz w:val="22"/>
          <w:szCs w:val="22"/>
        </w:rPr>
        <w:t xml:space="preserve">Sample aliquots </w:t>
      </w:r>
      <w:r w:rsidR="00B0322E">
        <w:rPr>
          <w:rFonts w:ascii="Arial" w:eastAsia="Arial" w:hAnsi="Arial" w:cs="Arial"/>
          <w:sz w:val="22"/>
          <w:szCs w:val="22"/>
        </w:rPr>
        <w:t>are</w:t>
      </w:r>
      <w:r w:rsidR="00D81EFA">
        <w:rPr>
          <w:rFonts w:ascii="Arial" w:eastAsia="Arial" w:hAnsi="Arial" w:cs="Arial"/>
          <w:sz w:val="22"/>
          <w:szCs w:val="22"/>
        </w:rPr>
        <w:t xml:space="preserve"> taken from the 0.1% TCA </w:t>
      </w:r>
      <w:r>
        <w:rPr>
          <w:rFonts w:ascii="Arial" w:eastAsia="Arial" w:hAnsi="Arial" w:cs="Arial"/>
          <w:sz w:val="22"/>
          <w:szCs w:val="22"/>
        </w:rPr>
        <w:t>buffer extraction. All reactions are run in triplicate.</w:t>
      </w:r>
    </w:p>
    <w:p w:rsidR="00E279C2" w:rsidRDefault="00504627">
      <w:pPr>
        <w:numPr>
          <w:ilvl w:val="0"/>
          <w:numId w:val="4"/>
        </w:numPr>
        <w:spacing w:line="480" w:lineRule="auto"/>
        <w:contextualSpacing/>
        <w:rPr>
          <w:rFonts w:ascii="Arial" w:eastAsia="Arial" w:hAnsi="Arial" w:cs="Arial"/>
          <w:sz w:val="22"/>
          <w:szCs w:val="22"/>
        </w:rPr>
      </w:pPr>
      <w:r>
        <w:rPr>
          <w:rFonts w:ascii="Arial" w:eastAsia="Arial" w:hAnsi="Arial" w:cs="Arial"/>
          <w:sz w:val="22"/>
          <w:szCs w:val="22"/>
        </w:rPr>
        <w:t>Create sample master mix by multiplying reaction components by total number of reactions + 1. Reaction components are as follows: 100 µL of 1M potassium iodide (KI), 50 µL of 10mM Potassium Phosphate buffer (pH 6.5), and 50 µL of enzyme source.</w:t>
      </w:r>
    </w:p>
    <w:p w:rsidR="00E279C2" w:rsidRDefault="00504627">
      <w:pPr>
        <w:numPr>
          <w:ilvl w:val="0"/>
          <w:numId w:val="4"/>
        </w:numPr>
        <w:spacing w:line="480" w:lineRule="auto"/>
        <w:contextualSpacing/>
        <w:rPr>
          <w:rFonts w:ascii="Arial" w:eastAsia="Arial" w:hAnsi="Arial" w:cs="Arial"/>
          <w:sz w:val="22"/>
          <w:szCs w:val="22"/>
        </w:rPr>
      </w:pPr>
      <w:r>
        <w:rPr>
          <w:rFonts w:ascii="Arial" w:eastAsia="Arial" w:hAnsi="Arial" w:cs="Arial"/>
          <w:sz w:val="22"/>
          <w:szCs w:val="22"/>
        </w:rPr>
        <w:t>Create control master mix by multiplying reaction components by total number of reactions + 1. Reaction components are as follows: 100 µL of dH</w:t>
      </w:r>
      <w:r>
        <w:rPr>
          <w:rFonts w:ascii="Arial" w:eastAsia="Arial" w:hAnsi="Arial" w:cs="Arial"/>
          <w:sz w:val="22"/>
          <w:szCs w:val="22"/>
          <w:vertAlign w:val="subscript"/>
        </w:rPr>
        <w:t>2</w:t>
      </w:r>
      <w:r>
        <w:rPr>
          <w:rFonts w:ascii="Arial" w:eastAsia="Arial" w:hAnsi="Arial" w:cs="Arial"/>
          <w:sz w:val="22"/>
          <w:szCs w:val="22"/>
        </w:rPr>
        <w:t>O, 50 µL of 10mM Potassium Phosphate b</w:t>
      </w:r>
      <w:r w:rsidR="00D81EFA">
        <w:rPr>
          <w:rFonts w:ascii="Arial" w:eastAsia="Arial" w:hAnsi="Arial" w:cs="Arial"/>
          <w:sz w:val="22"/>
          <w:szCs w:val="22"/>
        </w:rPr>
        <w:t xml:space="preserve">uffer (pH 6.5), and 50 µL of </w:t>
      </w:r>
      <w:r>
        <w:rPr>
          <w:rFonts w:ascii="Arial" w:eastAsia="Arial" w:hAnsi="Arial" w:cs="Arial"/>
          <w:sz w:val="22"/>
          <w:szCs w:val="22"/>
        </w:rPr>
        <w:t>enzyme source.</w:t>
      </w:r>
      <w:r w:rsidR="00D81EFA">
        <w:rPr>
          <w:rFonts w:ascii="Arial" w:eastAsia="Arial" w:hAnsi="Arial" w:cs="Arial"/>
          <w:sz w:val="22"/>
          <w:szCs w:val="22"/>
        </w:rPr>
        <w:t xml:space="preserve"> </w:t>
      </w:r>
    </w:p>
    <w:p w:rsidR="00E279C2" w:rsidRDefault="00504627">
      <w:pPr>
        <w:numPr>
          <w:ilvl w:val="0"/>
          <w:numId w:val="4"/>
        </w:numPr>
        <w:pBdr>
          <w:top w:val="nil"/>
          <w:left w:val="nil"/>
          <w:bottom w:val="nil"/>
          <w:right w:val="nil"/>
          <w:between w:val="nil"/>
        </w:pBdr>
        <w:spacing w:line="480" w:lineRule="auto"/>
        <w:contextualSpacing/>
        <w:rPr>
          <w:rFonts w:ascii="Arial" w:eastAsia="Arial" w:hAnsi="Arial" w:cs="Arial"/>
          <w:sz w:val="22"/>
          <w:szCs w:val="22"/>
        </w:rPr>
      </w:pPr>
      <w:r>
        <w:rPr>
          <w:rFonts w:ascii="Arial" w:eastAsia="Arial" w:hAnsi="Arial" w:cs="Arial"/>
          <w:sz w:val="22"/>
          <w:szCs w:val="22"/>
        </w:rPr>
        <w:t xml:space="preserve">Aliquot 200 µL of each master mix (triplicate) to separate wells in a 96 well plate. </w:t>
      </w:r>
    </w:p>
    <w:p w:rsidR="00E279C2" w:rsidRDefault="00504627">
      <w:pPr>
        <w:numPr>
          <w:ilvl w:val="0"/>
          <w:numId w:val="4"/>
        </w:numPr>
        <w:spacing w:line="480" w:lineRule="auto"/>
        <w:contextualSpacing/>
        <w:rPr>
          <w:rFonts w:ascii="Arial" w:eastAsia="Arial" w:hAnsi="Arial" w:cs="Arial"/>
          <w:sz w:val="22"/>
          <w:szCs w:val="22"/>
        </w:rPr>
      </w:pPr>
      <w:r>
        <w:rPr>
          <w:rFonts w:ascii="Arial" w:eastAsia="Arial" w:hAnsi="Arial" w:cs="Arial"/>
          <w:sz w:val="22"/>
          <w:szCs w:val="22"/>
        </w:rPr>
        <w:t>Incubate samples plus standard curve in the dark for 20 minutes at room temperature.</w:t>
      </w:r>
    </w:p>
    <w:p w:rsidR="00E279C2" w:rsidRDefault="00504627">
      <w:pPr>
        <w:numPr>
          <w:ilvl w:val="0"/>
          <w:numId w:val="4"/>
        </w:numPr>
        <w:pBdr>
          <w:top w:val="nil"/>
          <w:left w:val="nil"/>
          <w:bottom w:val="nil"/>
          <w:right w:val="nil"/>
          <w:between w:val="nil"/>
        </w:pBdr>
        <w:spacing w:line="480" w:lineRule="auto"/>
        <w:contextualSpacing/>
        <w:rPr>
          <w:rFonts w:ascii="Arial" w:eastAsia="Arial" w:hAnsi="Arial" w:cs="Arial"/>
          <w:sz w:val="22"/>
          <w:szCs w:val="22"/>
        </w:rPr>
      </w:pPr>
      <w:r>
        <w:rPr>
          <w:rFonts w:ascii="Arial" w:eastAsia="Arial" w:hAnsi="Arial" w:cs="Arial"/>
          <w:sz w:val="22"/>
          <w:szCs w:val="22"/>
        </w:rPr>
        <w:t>Read a</w:t>
      </w:r>
      <w:r>
        <w:rPr>
          <w:rFonts w:ascii="Arial" w:eastAsia="Arial" w:hAnsi="Arial" w:cs="Arial"/>
          <w:color w:val="000000"/>
          <w:sz w:val="22"/>
          <w:szCs w:val="22"/>
        </w:rPr>
        <w:t xml:space="preserve">bsorbance at 390 nm and compare values to the standard curve for quantification in nmoles. </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sz w:val="22"/>
          <w:szCs w:val="22"/>
        </w:rPr>
        <w:t>Trypsin-like p</w:t>
      </w:r>
      <w:r w:rsidR="00BF7E21">
        <w:rPr>
          <w:rFonts w:ascii="Arial" w:eastAsia="Arial" w:hAnsi="Arial" w:cs="Arial"/>
          <w:color w:val="000000"/>
          <w:sz w:val="22"/>
          <w:szCs w:val="22"/>
        </w:rPr>
        <w:t>rote</w:t>
      </w:r>
      <w:r>
        <w:rPr>
          <w:rFonts w:ascii="Arial" w:eastAsia="Arial" w:hAnsi="Arial" w:cs="Arial"/>
          <w:color w:val="000000"/>
          <w:sz w:val="22"/>
          <w:szCs w:val="22"/>
        </w:rPr>
        <w:t>ase Inhibition (PI) Activity</w:t>
      </w:r>
    </w:p>
    <w:p w:rsidR="00E279C2" w:rsidRDefault="00504627">
      <w:pPr>
        <w:numPr>
          <w:ilvl w:val="0"/>
          <w:numId w:val="2"/>
        </w:numPr>
        <w:pBdr>
          <w:top w:val="nil"/>
          <w:left w:val="nil"/>
          <w:bottom w:val="nil"/>
          <w:right w:val="nil"/>
          <w:between w:val="nil"/>
        </w:pBdr>
        <w:spacing w:line="480" w:lineRule="auto"/>
        <w:contextualSpacing/>
        <w:rPr>
          <w:rFonts w:ascii="Arial" w:eastAsia="Arial" w:hAnsi="Arial" w:cs="Arial"/>
          <w:color w:val="000000"/>
          <w:sz w:val="22"/>
          <w:szCs w:val="22"/>
        </w:rPr>
      </w:pPr>
      <w:r>
        <w:rPr>
          <w:rFonts w:ascii="Arial" w:eastAsia="Arial" w:hAnsi="Arial" w:cs="Arial"/>
          <w:color w:val="000000"/>
          <w:sz w:val="22"/>
          <w:szCs w:val="22"/>
        </w:rPr>
        <w:t>Activity is represented by the inhibition of trypsin</w:t>
      </w:r>
      <w:r>
        <w:rPr>
          <w:rFonts w:ascii="Arial" w:eastAsia="Arial" w:hAnsi="Arial" w:cs="Arial"/>
          <w:sz w:val="22"/>
          <w:szCs w:val="22"/>
        </w:rPr>
        <w:t xml:space="preserve"> in</w:t>
      </w:r>
      <w:r>
        <w:rPr>
          <w:rFonts w:ascii="Arial" w:eastAsia="Arial" w:hAnsi="Arial" w:cs="Arial"/>
          <w:color w:val="000000"/>
          <w:sz w:val="22"/>
          <w:szCs w:val="22"/>
        </w:rPr>
        <w:t xml:space="preserve"> </w:t>
      </w:r>
      <w:r>
        <w:rPr>
          <w:rFonts w:ascii="Arial" w:eastAsia="Arial" w:hAnsi="Arial" w:cs="Arial"/>
          <w:sz w:val="22"/>
          <w:szCs w:val="22"/>
        </w:rPr>
        <w:t>s</w:t>
      </w:r>
      <w:r>
        <w:rPr>
          <w:rFonts w:ascii="Arial" w:eastAsia="Arial" w:hAnsi="Arial" w:cs="Arial"/>
          <w:color w:val="000000"/>
          <w:sz w:val="22"/>
          <w:szCs w:val="22"/>
        </w:rPr>
        <w:t>ample aliquots taken from the 1/10x PE buffer. All reactio</w:t>
      </w:r>
      <w:r>
        <w:rPr>
          <w:rFonts w:ascii="Arial" w:eastAsia="Arial" w:hAnsi="Arial" w:cs="Arial"/>
          <w:sz w:val="22"/>
          <w:szCs w:val="22"/>
        </w:rPr>
        <w:t xml:space="preserve">ns are run in triplicate. </w:t>
      </w:r>
    </w:p>
    <w:p w:rsidR="00E279C2" w:rsidRDefault="00504627">
      <w:pPr>
        <w:numPr>
          <w:ilvl w:val="0"/>
          <w:numId w:val="2"/>
        </w:numPr>
        <w:pBdr>
          <w:top w:val="nil"/>
          <w:left w:val="nil"/>
          <w:bottom w:val="nil"/>
          <w:right w:val="nil"/>
          <w:between w:val="nil"/>
        </w:pBdr>
        <w:spacing w:line="480" w:lineRule="auto"/>
        <w:contextualSpacing/>
        <w:rPr>
          <w:rFonts w:ascii="Arial" w:eastAsia="Arial" w:hAnsi="Arial" w:cs="Arial"/>
          <w:sz w:val="22"/>
          <w:szCs w:val="22"/>
        </w:rPr>
      </w:pPr>
      <w:r>
        <w:rPr>
          <w:rFonts w:ascii="Arial" w:eastAsia="Arial" w:hAnsi="Arial" w:cs="Arial"/>
          <w:sz w:val="22"/>
          <w:szCs w:val="22"/>
        </w:rPr>
        <w:t xml:space="preserve">Create sample master mix by multiplying reaction components by total number of reactions + 1. Reaction components are as follows: 100 µL of enzyme source, 133.3 µL of Trizma Base buffer, 83.3 </w:t>
      </w:r>
      <w:r w:rsidR="00D81EFA">
        <w:rPr>
          <w:rFonts w:ascii="Arial" w:eastAsia="Arial" w:hAnsi="Arial" w:cs="Arial"/>
          <w:color w:val="000000"/>
          <w:sz w:val="22"/>
          <w:szCs w:val="22"/>
        </w:rPr>
        <w:t>µ</w:t>
      </w:r>
      <w:r>
        <w:rPr>
          <w:rFonts w:ascii="Arial" w:eastAsia="Arial" w:hAnsi="Arial" w:cs="Arial"/>
          <w:sz w:val="22"/>
          <w:szCs w:val="22"/>
        </w:rPr>
        <w:t>L of 2% azocasein dissolved in Trizma Base buffer, and 33.3 µL of 0.001 M HCl solution containing 200 ng of trypsin</w:t>
      </w:r>
    </w:p>
    <w:p w:rsidR="00E279C2" w:rsidRDefault="00504627">
      <w:pPr>
        <w:numPr>
          <w:ilvl w:val="0"/>
          <w:numId w:val="2"/>
        </w:numPr>
        <w:spacing w:line="480" w:lineRule="auto"/>
        <w:contextualSpacing/>
        <w:rPr>
          <w:rFonts w:ascii="Arial" w:eastAsia="Arial" w:hAnsi="Arial" w:cs="Arial"/>
          <w:sz w:val="22"/>
          <w:szCs w:val="22"/>
        </w:rPr>
      </w:pPr>
      <w:r>
        <w:rPr>
          <w:rFonts w:ascii="Arial" w:eastAsia="Arial" w:hAnsi="Arial" w:cs="Arial"/>
          <w:sz w:val="22"/>
          <w:szCs w:val="22"/>
        </w:rPr>
        <w:t xml:space="preserve">Create sample control master mix by multiplying reaction components by total number of reactions + 1. Reaction components are as follows: 100 µL of enzyme source, 166.6 µL of Trizma Base buffer and 83.3 </w:t>
      </w:r>
      <w:r w:rsidR="00D81EFA">
        <w:rPr>
          <w:rFonts w:ascii="Arial" w:eastAsia="Arial" w:hAnsi="Arial" w:cs="Arial"/>
          <w:color w:val="000000"/>
          <w:sz w:val="22"/>
          <w:szCs w:val="22"/>
        </w:rPr>
        <w:t>µ</w:t>
      </w:r>
      <w:r>
        <w:rPr>
          <w:rFonts w:ascii="Arial" w:eastAsia="Arial" w:hAnsi="Arial" w:cs="Arial"/>
          <w:sz w:val="22"/>
          <w:szCs w:val="22"/>
        </w:rPr>
        <w:t>L of 2% azocasein dissolved in Trizma Base buffer.</w:t>
      </w:r>
    </w:p>
    <w:p w:rsidR="00E279C2" w:rsidRDefault="00504627">
      <w:pPr>
        <w:numPr>
          <w:ilvl w:val="0"/>
          <w:numId w:val="2"/>
        </w:numPr>
        <w:spacing w:line="480" w:lineRule="auto"/>
        <w:contextualSpacing/>
        <w:rPr>
          <w:rFonts w:ascii="Arial" w:eastAsia="Arial" w:hAnsi="Arial" w:cs="Arial"/>
          <w:sz w:val="22"/>
          <w:szCs w:val="22"/>
        </w:rPr>
      </w:pPr>
      <w:r>
        <w:rPr>
          <w:rFonts w:ascii="Arial" w:eastAsia="Arial" w:hAnsi="Arial" w:cs="Arial"/>
          <w:sz w:val="22"/>
          <w:szCs w:val="22"/>
        </w:rPr>
        <w:t xml:space="preserve">Create assay control master mix by multiplying reaction components by total number of reactions + 1. Reaction components are as follows: 233.3 µL of Trizma Base buffer, 83.3 </w:t>
      </w:r>
      <w:r w:rsidR="00D81EFA">
        <w:rPr>
          <w:rFonts w:ascii="Arial" w:eastAsia="Arial" w:hAnsi="Arial" w:cs="Arial"/>
          <w:color w:val="000000"/>
          <w:sz w:val="22"/>
          <w:szCs w:val="22"/>
        </w:rPr>
        <w:t>µ</w:t>
      </w:r>
      <w:r>
        <w:rPr>
          <w:rFonts w:ascii="Arial" w:eastAsia="Arial" w:hAnsi="Arial" w:cs="Arial"/>
          <w:sz w:val="22"/>
          <w:szCs w:val="22"/>
        </w:rPr>
        <w:t>L of 2% azocasein dissolved in Trizma Base buffer, and 33.3 µL of 0.001 M HCl solution containing 200 ng of trypsin.</w:t>
      </w:r>
    </w:p>
    <w:p w:rsidR="00E279C2" w:rsidRDefault="00504627">
      <w:pPr>
        <w:numPr>
          <w:ilvl w:val="0"/>
          <w:numId w:val="2"/>
        </w:numPr>
        <w:spacing w:line="480" w:lineRule="auto"/>
        <w:contextualSpacing/>
        <w:rPr>
          <w:rFonts w:ascii="Arial" w:eastAsia="Arial" w:hAnsi="Arial" w:cs="Arial"/>
          <w:sz w:val="22"/>
          <w:szCs w:val="22"/>
        </w:rPr>
      </w:pPr>
      <w:r>
        <w:rPr>
          <w:rFonts w:ascii="Arial" w:eastAsia="Arial" w:hAnsi="Arial" w:cs="Arial"/>
          <w:sz w:val="22"/>
          <w:szCs w:val="22"/>
        </w:rPr>
        <w:t xml:space="preserve">Create a negative control by multiplying reaction components by total number of reactions + 1. Reaction components are as follows: 266.6 µL of Trizma Base buffer and 83.3 </w:t>
      </w:r>
      <w:r w:rsidR="00D81EFA" w:rsidRPr="0079074D">
        <w:rPr>
          <w:rFonts w:ascii="Arial" w:eastAsia="Arial" w:hAnsi="Arial" w:cs="Arial"/>
          <w:sz w:val="22"/>
          <w:szCs w:val="22"/>
        </w:rPr>
        <w:t>µ</w:t>
      </w:r>
      <w:r w:rsidR="00D81EFA">
        <w:rPr>
          <w:rFonts w:ascii="Arial" w:eastAsia="Arial" w:hAnsi="Arial" w:cs="Arial"/>
          <w:sz w:val="22"/>
          <w:szCs w:val="22"/>
        </w:rPr>
        <w:t>L</w:t>
      </w:r>
      <w:r>
        <w:rPr>
          <w:rFonts w:ascii="Arial" w:eastAsia="Arial" w:hAnsi="Arial" w:cs="Arial"/>
          <w:sz w:val="22"/>
          <w:szCs w:val="22"/>
        </w:rPr>
        <w:t xml:space="preserve"> of 2% azocasein dissolved in Trizma Base buffer.</w:t>
      </w:r>
    </w:p>
    <w:p w:rsidR="00E279C2" w:rsidRDefault="00504627">
      <w:pPr>
        <w:numPr>
          <w:ilvl w:val="0"/>
          <w:numId w:val="2"/>
        </w:numPr>
        <w:pBdr>
          <w:top w:val="nil"/>
          <w:left w:val="nil"/>
          <w:bottom w:val="nil"/>
          <w:right w:val="nil"/>
          <w:between w:val="nil"/>
        </w:pBdr>
        <w:spacing w:line="480" w:lineRule="auto"/>
        <w:contextualSpacing/>
        <w:rPr>
          <w:rFonts w:ascii="Arial" w:eastAsia="Arial" w:hAnsi="Arial" w:cs="Arial"/>
          <w:color w:val="000000"/>
          <w:sz w:val="22"/>
          <w:szCs w:val="22"/>
        </w:rPr>
      </w:pPr>
      <w:r>
        <w:rPr>
          <w:rFonts w:ascii="Arial" w:eastAsia="Arial" w:hAnsi="Arial" w:cs="Arial"/>
          <w:sz w:val="22"/>
          <w:szCs w:val="22"/>
        </w:rPr>
        <w:t>Incubate s</w:t>
      </w:r>
      <w:r>
        <w:rPr>
          <w:rFonts w:ascii="Arial" w:eastAsia="Arial" w:hAnsi="Arial" w:cs="Arial"/>
          <w:color w:val="000000"/>
          <w:sz w:val="22"/>
          <w:szCs w:val="22"/>
        </w:rPr>
        <w:t xml:space="preserve">amples at 30°C for 25 minutes. </w:t>
      </w:r>
    </w:p>
    <w:p w:rsidR="00E279C2" w:rsidRDefault="00504627">
      <w:pPr>
        <w:numPr>
          <w:ilvl w:val="0"/>
          <w:numId w:val="2"/>
        </w:numPr>
        <w:pBdr>
          <w:top w:val="nil"/>
          <w:left w:val="nil"/>
          <w:bottom w:val="nil"/>
          <w:right w:val="nil"/>
          <w:between w:val="nil"/>
        </w:pBdr>
        <w:spacing w:line="480" w:lineRule="auto"/>
        <w:contextualSpacing/>
        <w:rPr>
          <w:rFonts w:ascii="Arial" w:eastAsia="Arial" w:hAnsi="Arial" w:cs="Arial"/>
          <w:color w:val="000000"/>
          <w:sz w:val="22"/>
          <w:szCs w:val="22"/>
        </w:rPr>
      </w:pPr>
      <w:r>
        <w:rPr>
          <w:rFonts w:ascii="Arial" w:eastAsia="Arial" w:hAnsi="Arial" w:cs="Arial"/>
          <w:color w:val="000000"/>
          <w:sz w:val="22"/>
          <w:szCs w:val="22"/>
        </w:rPr>
        <w:t xml:space="preserve">Post-incubation, add 133 µL of 100% w/v TCA </w:t>
      </w:r>
      <w:r>
        <w:rPr>
          <w:rFonts w:ascii="Arial" w:eastAsia="Arial" w:hAnsi="Arial" w:cs="Arial"/>
          <w:sz w:val="22"/>
          <w:szCs w:val="22"/>
        </w:rPr>
        <w:t>to all</w:t>
      </w:r>
      <w:r>
        <w:rPr>
          <w:rFonts w:ascii="Arial" w:eastAsia="Arial" w:hAnsi="Arial" w:cs="Arial"/>
          <w:color w:val="000000"/>
          <w:sz w:val="22"/>
          <w:szCs w:val="22"/>
        </w:rPr>
        <w:t xml:space="preserve"> samples </w:t>
      </w:r>
      <w:r>
        <w:rPr>
          <w:rFonts w:ascii="Arial" w:eastAsia="Arial" w:hAnsi="Arial" w:cs="Arial"/>
          <w:sz w:val="22"/>
          <w:szCs w:val="22"/>
        </w:rPr>
        <w:t>and</w:t>
      </w:r>
      <w:r>
        <w:rPr>
          <w:rFonts w:ascii="Arial" w:eastAsia="Arial" w:hAnsi="Arial" w:cs="Arial"/>
          <w:color w:val="000000"/>
          <w:sz w:val="22"/>
          <w:szCs w:val="22"/>
        </w:rPr>
        <w:t xml:space="preserve"> centrifuge</w:t>
      </w:r>
      <w:r>
        <w:rPr>
          <w:rFonts w:ascii="Arial" w:eastAsia="Arial" w:hAnsi="Arial" w:cs="Arial"/>
          <w:sz w:val="22"/>
          <w:szCs w:val="22"/>
        </w:rPr>
        <w:t xml:space="preserve"> </w:t>
      </w:r>
      <w:r>
        <w:rPr>
          <w:rFonts w:ascii="Arial" w:eastAsia="Arial" w:hAnsi="Arial" w:cs="Arial"/>
          <w:color w:val="000000"/>
          <w:sz w:val="22"/>
          <w:szCs w:val="22"/>
        </w:rPr>
        <w:t xml:space="preserve">at 8000 rpm for 10 minutes. </w:t>
      </w:r>
    </w:p>
    <w:p w:rsidR="00E279C2" w:rsidRDefault="00504627">
      <w:pPr>
        <w:numPr>
          <w:ilvl w:val="0"/>
          <w:numId w:val="2"/>
        </w:numPr>
        <w:pBdr>
          <w:top w:val="nil"/>
          <w:left w:val="nil"/>
          <w:bottom w:val="nil"/>
          <w:right w:val="nil"/>
          <w:between w:val="nil"/>
        </w:pBdr>
        <w:spacing w:line="480" w:lineRule="auto"/>
        <w:contextualSpacing/>
        <w:rPr>
          <w:rFonts w:ascii="Arial" w:eastAsia="Arial" w:hAnsi="Arial" w:cs="Arial"/>
          <w:color w:val="000000"/>
          <w:sz w:val="22"/>
          <w:szCs w:val="22"/>
        </w:rPr>
      </w:pPr>
      <w:r>
        <w:rPr>
          <w:rFonts w:ascii="Arial" w:eastAsia="Arial" w:hAnsi="Arial" w:cs="Arial"/>
          <w:sz w:val="22"/>
          <w:szCs w:val="22"/>
        </w:rPr>
        <w:t xml:space="preserve">Aliquot 100 </w:t>
      </w:r>
      <w:r w:rsidR="00D81EFA">
        <w:rPr>
          <w:rFonts w:ascii="Arial" w:eastAsia="Arial" w:hAnsi="Arial" w:cs="Arial"/>
          <w:color w:val="000000"/>
          <w:sz w:val="22"/>
          <w:szCs w:val="22"/>
        </w:rPr>
        <w:t>µ</w:t>
      </w:r>
      <w:r>
        <w:rPr>
          <w:rFonts w:ascii="Arial" w:eastAsia="Arial" w:hAnsi="Arial" w:cs="Arial"/>
          <w:sz w:val="22"/>
          <w:szCs w:val="22"/>
        </w:rPr>
        <w:t>L of 1M NaOH to all wells of a 96 well plate and then aliquot 100 µL of the supernatant to each well.</w:t>
      </w:r>
    </w:p>
    <w:p w:rsidR="00E279C2" w:rsidRDefault="00504627">
      <w:pPr>
        <w:numPr>
          <w:ilvl w:val="0"/>
          <w:numId w:val="2"/>
        </w:numPr>
        <w:pBdr>
          <w:top w:val="nil"/>
          <w:left w:val="nil"/>
          <w:bottom w:val="nil"/>
          <w:right w:val="nil"/>
          <w:between w:val="nil"/>
        </w:pBdr>
        <w:spacing w:line="480" w:lineRule="auto"/>
        <w:contextualSpacing/>
        <w:rPr>
          <w:rFonts w:ascii="Arial" w:eastAsia="Arial" w:hAnsi="Arial" w:cs="Arial"/>
          <w:color w:val="000000"/>
          <w:sz w:val="22"/>
          <w:szCs w:val="22"/>
        </w:rPr>
      </w:pPr>
      <w:r>
        <w:rPr>
          <w:rFonts w:ascii="Arial" w:eastAsia="Arial" w:hAnsi="Arial" w:cs="Arial"/>
          <w:sz w:val="22"/>
          <w:szCs w:val="22"/>
        </w:rPr>
        <w:lastRenderedPageBreak/>
        <w:t xml:space="preserve">Read </w:t>
      </w:r>
      <w:r>
        <w:rPr>
          <w:rFonts w:ascii="Arial" w:eastAsia="Arial" w:hAnsi="Arial" w:cs="Arial"/>
          <w:color w:val="000000"/>
          <w:sz w:val="22"/>
          <w:szCs w:val="22"/>
        </w:rPr>
        <w:t xml:space="preserve">absorbance at 450 nm. PI activity </w:t>
      </w:r>
      <w:r>
        <w:rPr>
          <w:rFonts w:ascii="Arial" w:eastAsia="Arial" w:hAnsi="Arial" w:cs="Arial"/>
          <w:sz w:val="22"/>
          <w:szCs w:val="22"/>
        </w:rPr>
        <w:t>is</w:t>
      </w:r>
      <w:r>
        <w:rPr>
          <w:rFonts w:ascii="Arial" w:eastAsia="Arial" w:hAnsi="Arial" w:cs="Arial"/>
          <w:color w:val="000000"/>
          <w:sz w:val="22"/>
          <w:szCs w:val="22"/>
        </w:rPr>
        <w:t xml:space="preserve"> calculated for pre- and post-herbivory as 1</w:t>
      </w:r>
      <w:r w:rsidR="00D81EFA">
        <w:rPr>
          <w:rFonts w:ascii="Arial" w:eastAsia="Arial" w:hAnsi="Arial" w:cs="Arial"/>
          <w:color w:val="000000"/>
          <w:sz w:val="22"/>
          <w:szCs w:val="22"/>
        </w:rPr>
        <w:t>- (</w:t>
      </w:r>
      <w:r>
        <w:rPr>
          <w:rFonts w:ascii="Arial" w:eastAsia="Arial" w:hAnsi="Arial" w:cs="Arial"/>
          <w:color w:val="000000"/>
          <w:sz w:val="22"/>
          <w:szCs w:val="22"/>
        </w:rPr>
        <w:t xml:space="preserve">(Sample </w:t>
      </w:r>
      <w:r>
        <w:rPr>
          <w:rFonts w:ascii="Arial" w:eastAsia="Arial" w:hAnsi="Arial" w:cs="Arial"/>
          <w:sz w:val="22"/>
          <w:szCs w:val="22"/>
        </w:rPr>
        <w:t>a</w:t>
      </w:r>
      <w:r>
        <w:rPr>
          <w:rFonts w:ascii="Arial" w:eastAsia="Arial" w:hAnsi="Arial" w:cs="Arial"/>
          <w:color w:val="000000"/>
          <w:sz w:val="22"/>
          <w:szCs w:val="22"/>
        </w:rPr>
        <w:t>bsorbance/Sample Control Absorbance)/(</w:t>
      </w:r>
      <w:r>
        <w:rPr>
          <w:rFonts w:ascii="Arial" w:eastAsia="Arial" w:hAnsi="Arial" w:cs="Arial"/>
          <w:sz w:val="22"/>
          <w:szCs w:val="22"/>
        </w:rPr>
        <w:t xml:space="preserve">Assay </w:t>
      </w:r>
      <w:r>
        <w:rPr>
          <w:rFonts w:ascii="Arial" w:eastAsia="Arial" w:hAnsi="Arial" w:cs="Arial"/>
          <w:color w:val="000000"/>
          <w:sz w:val="22"/>
          <w:szCs w:val="22"/>
        </w:rPr>
        <w:t>Control</w:t>
      </w:r>
      <w:r>
        <w:rPr>
          <w:rFonts w:ascii="Arial" w:eastAsia="Arial" w:hAnsi="Arial" w:cs="Arial"/>
          <w:sz w:val="22"/>
          <w:szCs w:val="22"/>
        </w:rPr>
        <w:t xml:space="preserve"> Absorbance</w:t>
      </w:r>
      <w:r>
        <w:rPr>
          <w:rFonts w:ascii="Arial" w:eastAsia="Arial" w:hAnsi="Arial" w:cs="Arial"/>
          <w:color w:val="000000"/>
          <w:sz w:val="22"/>
          <w:szCs w:val="22"/>
        </w:rPr>
        <w:t>/Negat</w:t>
      </w:r>
      <w:r>
        <w:rPr>
          <w:rFonts w:ascii="Arial" w:eastAsia="Arial" w:hAnsi="Arial" w:cs="Arial"/>
          <w:sz w:val="22"/>
          <w:szCs w:val="22"/>
        </w:rPr>
        <w:t xml:space="preserve">ive </w:t>
      </w:r>
      <w:r>
        <w:rPr>
          <w:rFonts w:ascii="Arial" w:eastAsia="Arial" w:hAnsi="Arial" w:cs="Arial"/>
          <w:color w:val="000000"/>
          <w:sz w:val="22"/>
          <w:szCs w:val="22"/>
        </w:rPr>
        <w:t xml:space="preserve">Control Absorbance)), standardized by tissue mass and then report the values </w:t>
      </w:r>
      <w:r>
        <w:rPr>
          <w:rFonts w:ascii="Arial" w:eastAsia="Arial" w:hAnsi="Arial" w:cs="Arial"/>
          <w:sz w:val="22"/>
          <w:szCs w:val="22"/>
        </w:rPr>
        <w:t>as</w:t>
      </w:r>
      <w:r>
        <w:rPr>
          <w:rFonts w:ascii="Arial" w:eastAsia="Arial" w:hAnsi="Arial" w:cs="Arial"/>
          <w:color w:val="000000"/>
          <w:sz w:val="22"/>
          <w:szCs w:val="22"/>
        </w:rPr>
        <w:t xml:space="preserve"> post-herbivory minus pre-herbivory</w:t>
      </w:r>
      <w:r>
        <w:rPr>
          <w:rFonts w:ascii="Arial" w:eastAsia="Arial" w:hAnsi="Arial" w:cs="Arial"/>
          <w:sz w:val="22"/>
          <w:szCs w:val="22"/>
        </w:rPr>
        <w:t>.</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b/>
          <w:color w:val="000000"/>
          <w:sz w:val="22"/>
          <w:szCs w:val="22"/>
        </w:rPr>
      </w:pPr>
      <w:r>
        <w:rPr>
          <w:rFonts w:ascii="Arial" w:eastAsia="Arial" w:hAnsi="Arial" w:cs="Arial"/>
          <w:b/>
          <w:color w:val="000000"/>
          <w:sz w:val="22"/>
          <w:szCs w:val="22"/>
        </w:rPr>
        <w:t>Appendix 2</w:t>
      </w:r>
    </w:p>
    <w:p w:rsidR="00E279C2" w:rsidRDefault="00504627">
      <w:pPr>
        <w:pBdr>
          <w:top w:val="nil"/>
          <w:left w:val="nil"/>
          <w:bottom w:val="nil"/>
          <w:right w:val="nil"/>
          <w:between w:val="nil"/>
        </w:pBdr>
        <w:spacing w:line="480" w:lineRule="auto"/>
        <w:rPr>
          <w:rFonts w:ascii="Arial" w:eastAsia="Arial" w:hAnsi="Arial" w:cs="Arial"/>
          <w:b/>
          <w:color w:val="000000"/>
          <w:sz w:val="22"/>
          <w:szCs w:val="22"/>
        </w:rPr>
      </w:pPr>
      <w:r w:rsidRPr="004F5296">
        <w:rPr>
          <w:rFonts w:ascii="Arial" w:eastAsia="Arial" w:hAnsi="Arial" w:cs="Arial"/>
          <w:b/>
          <w:i/>
          <w:color w:val="000000"/>
          <w:sz w:val="22"/>
          <w:szCs w:val="22"/>
        </w:rPr>
        <w:t>Medicago</w:t>
      </w:r>
      <w:r>
        <w:rPr>
          <w:rFonts w:ascii="Arial" w:eastAsia="Arial" w:hAnsi="Arial" w:cs="Arial"/>
          <w:b/>
          <w:color w:val="000000"/>
          <w:sz w:val="22"/>
          <w:szCs w:val="22"/>
        </w:rPr>
        <w:t xml:space="preserve"> </w:t>
      </w:r>
      <w:r w:rsidR="00D81EFA" w:rsidRPr="0079074D">
        <w:rPr>
          <w:rFonts w:ascii="Arial" w:eastAsia="Arial" w:hAnsi="Arial" w:cs="Arial"/>
          <w:b/>
          <w:i/>
          <w:color w:val="000000"/>
          <w:sz w:val="22"/>
          <w:szCs w:val="22"/>
        </w:rPr>
        <w:t>polymorpha</w:t>
      </w:r>
      <w:r>
        <w:rPr>
          <w:rFonts w:ascii="Arial" w:eastAsia="Arial" w:hAnsi="Arial" w:cs="Arial"/>
          <w:b/>
          <w:color w:val="000000"/>
          <w:sz w:val="22"/>
          <w:szCs w:val="22"/>
        </w:rPr>
        <w:t xml:space="preserve"> genotype with country and GPS coordinates</w:t>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W0419 (France; 43.618907, 4.813317), W0420 (Spain; 43.45713, 4.353194), W0077 (Spain; 43.301433, 2.344602), W0607 (USA; 43.221144, -123.406702), W0079 (France; 43.67624, 3.352244), W0076 (USA; 40.87011, -124.11282), W0517 (USA; 40.87011, -124.11282), W0603 (USA; 40.87011, -124.11282), W0146 (USA; 40.87011, -124.11282), W0421 (Turkey; 42.643558, 11.850325)</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B0322E" w:rsidRDefault="00B0322E">
      <w:pPr>
        <w:pBdr>
          <w:top w:val="nil"/>
          <w:left w:val="nil"/>
          <w:bottom w:val="nil"/>
          <w:right w:val="nil"/>
          <w:between w:val="nil"/>
        </w:pBdr>
        <w:spacing w:line="480" w:lineRule="auto"/>
        <w:rPr>
          <w:rFonts w:ascii="Arial" w:eastAsia="Arial" w:hAnsi="Arial" w:cs="Arial"/>
          <w:b/>
          <w:color w:val="000000"/>
          <w:sz w:val="22"/>
          <w:szCs w:val="22"/>
        </w:rPr>
      </w:pPr>
    </w:p>
    <w:p w:rsidR="00B0322E" w:rsidRDefault="00B0322E">
      <w:pPr>
        <w:pBdr>
          <w:top w:val="nil"/>
          <w:left w:val="nil"/>
          <w:bottom w:val="nil"/>
          <w:right w:val="nil"/>
          <w:between w:val="nil"/>
        </w:pBdr>
        <w:spacing w:line="480" w:lineRule="auto"/>
        <w:rPr>
          <w:rFonts w:ascii="Arial" w:eastAsia="Arial" w:hAnsi="Arial" w:cs="Arial"/>
          <w:b/>
          <w:color w:val="000000"/>
          <w:sz w:val="22"/>
          <w:szCs w:val="22"/>
        </w:rPr>
      </w:pPr>
    </w:p>
    <w:p w:rsidR="00B0322E" w:rsidRDefault="00B0322E">
      <w:pPr>
        <w:pBdr>
          <w:top w:val="nil"/>
          <w:left w:val="nil"/>
          <w:bottom w:val="nil"/>
          <w:right w:val="nil"/>
          <w:between w:val="nil"/>
        </w:pBdr>
        <w:spacing w:line="480" w:lineRule="auto"/>
        <w:rPr>
          <w:rFonts w:ascii="Arial" w:eastAsia="Arial" w:hAnsi="Arial" w:cs="Arial"/>
          <w:b/>
          <w:color w:val="000000"/>
          <w:sz w:val="22"/>
          <w:szCs w:val="22"/>
        </w:rPr>
      </w:pPr>
    </w:p>
    <w:p w:rsidR="00B0322E" w:rsidRDefault="00B0322E">
      <w:pPr>
        <w:pBdr>
          <w:top w:val="nil"/>
          <w:left w:val="nil"/>
          <w:bottom w:val="nil"/>
          <w:right w:val="nil"/>
          <w:between w:val="nil"/>
        </w:pBdr>
        <w:spacing w:line="480" w:lineRule="auto"/>
        <w:rPr>
          <w:rFonts w:ascii="Arial" w:eastAsia="Arial" w:hAnsi="Arial" w:cs="Arial"/>
          <w:b/>
          <w:color w:val="000000"/>
          <w:sz w:val="22"/>
          <w:szCs w:val="22"/>
        </w:rPr>
      </w:pPr>
    </w:p>
    <w:p w:rsidR="00B0322E" w:rsidRDefault="00B0322E">
      <w:pPr>
        <w:pBdr>
          <w:top w:val="nil"/>
          <w:left w:val="nil"/>
          <w:bottom w:val="nil"/>
          <w:right w:val="nil"/>
          <w:between w:val="nil"/>
        </w:pBdr>
        <w:spacing w:line="480" w:lineRule="auto"/>
        <w:rPr>
          <w:rFonts w:ascii="Arial" w:eastAsia="Arial" w:hAnsi="Arial" w:cs="Arial"/>
          <w:b/>
          <w:color w:val="000000"/>
          <w:sz w:val="22"/>
          <w:szCs w:val="22"/>
        </w:rPr>
      </w:pPr>
    </w:p>
    <w:p w:rsidR="00B0322E" w:rsidRDefault="00B0322E">
      <w:pPr>
        <w:pBdr>
          <w:top w:val="nil"/>
          <w:left w:val="nil"/>
          <w:bottom w:val="nil"/>
          <w:right w:val="nil"/>
          <w:between w:val="nil"/>
        </w:pBdr>
        <w:spacing w:line="480" w:lineRule="auto"/>
        <w:rPr>
          <w:rFonts w:ascii="Arial" w:eastAsia="Arial" w:hAnsi="Arial" w:cs="Arial"/>
          <w:b/>
          <w:color w:val="000000"/>
          <w:sz w:val="22"/>
          <w:szCs w:val="22"/>
        </w:rPr>
      </w:pPr>
    </w:p>
    <w:p w:rsidR="00B0322E" w:rsidRDefault="00B0322E">
      <w:pPr>
        <w:pBdr>
          <w:top w:val="nil"/>
          <w:left w:val="nil"/>
          <w:bottom w:val="nil"/>
          <w:right w:val="nil"/>
          <w:between w:val="nil"/>
        </w:pBdr>
        <w:spacing w:line="480" w:lineRule="auto"/>
        <w:rPr>
          <w:rFonts w:ascii="Arial" w:eastAsia="Arial" w:hAnsi="Arial" w:cs="Arial"/>
          <w:b/>
          <w:color w:val="000000"/>
          <w:sz w:val="22"/>
          <w:szCs w:val="22"/>
        </w:rPr>
      </w:pPr>
    </w:p>
    <w:p w:rsidR="00B0322E" w:rsidRDefault="00B0322E">
      <w:pPr>
        <w:pBdr>
          <w:top w:val="nil"/>
          <w:left w:val="nil"/>
          <w:bottom w:val="nil"/>
          <w:right w:val="nil"/>
          <w:between w:val="nil"/>
        </w:pBdr>
        <w:spacing w:line="480" w:lineRule="auto"/>
        <w:rPr>
          <w:rFonts w:ascii="Arial" w:eastAsia="Arial" w:hAnsi="Arial" w:cs="Arial"/>
          <w:b/>
          <w:color w:val="000000"/>
          <w:sz w:val="22"/>
          <w:szCs w:val="22"/>
        </w:rPr>
      </w:pPr>
    </w:p>
    <w:p w:rsidR="00B0322E" w:rsidRDefault="00B0322E">
      <w:pPr>
        <w:pBdr>
          <w:top w:val="nil"/>
          <w:left w:val="nil"/>
          <w:bottom w:val="nil"/>
          <w:right w:val="nil"/>
          <w:between w:val="nil"/>
        </w:pBdr>
        <w:spacing w:line="480" w:lineRule="auto"/>
        <w:rPr>
          <w:rFonts w:ascii="Arial" w:eastAsia="Arial" w:hAnsi="Arial" w:cs="Arial"/>
          <w:b/>
          <w:color w:val="000000"/>
          <w:sz w:val="22"/>
          <w:szCs w:val="22"/>
        </w:rPr>
      </w:pPr>
    </w:p>
    <w:p w:rsidR="00B0322E" w:rsidRDefault="00B0322E">
      <w:pPr>
        <w:pBdr>
          <w:top w:val="nil"/>
          <w:left w:val="nil"/>
          <w:bottom w:val="nil"/>
          <w:right w:val="nil"/>
          <w:between w:val="nil"/>
        </w:pBdr>
        <w:spacing w:line="480" w:lineRule="auto"/>
        <w:rPr>
          <w:rFonts w:ascii="Arial" w:eastAsia="Arial" w:hAnsi="Arial" w:cs="Arial"/>
          <w:b/>
          <w:color w:val="000000"/>
          <w:sz w:val="22"/>
          <w:szCs w:val="22"/>
        </w:rPr>
      </w:pPr>
    </w:p>
    <w:p w:rsidR="00B0322E" w:rsidRDefault="00B0322E">
      <w:pPr>
        <w:pBdr>
          <w:top w:val="nil"/>
          <w:left w:val="nil"/>
          <w:bottom w:val="nil"/>
          <w:right w:val="nil"/>
          <w:between w:val="nil"/>
        </w:pBdr>
        <w:spacing w:line="480" w:lineRule="auto"/>
        <w:rPr>
          <w:rFonts w:ascii="Arial" w:eastAsia="Arial" w:hAnsi="Arial" w:cs="Arial"/>
          <w:b/>
          <w:color w:val="000000"/>
          <w:sz w:val="22"/>
          <w:szCs w:val="22"/>
        </w:rPr>
      </w:pPr>
    </w:p>
    <w:p w:rsidR="00B0322E" w:rsidRDefault="00B0322E">
      <w:pPr>
        <w:pBdr>
          <w:top w:val="nil"/>
          <w:left w:val="nil"/>
          <w:bottom w:val="nil"/>
          <w:right w:val="nil"/>
          <w:between w:val="nil"/>
        </w:pBdr>
        <w:spacing w:line="480" w:lineRule="auto"/>
        <w:rPr>
          <w:rFonts w:ascii="Arial" w:eastAsia="Arial" w:hAnsi="Arial" w:cs="Arial"/>
          <w:b/>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b/>
          <w:color w:val="000000"/>
          <w:sz w:val="22"/>
          <w:szCs w:val="22"/>
          <w:highlight w:val="yellow"/>
        </w:rPr>
      </w:pPr>
      <w:r>
        <w:rPr>
          <w:rFonts w:ascii="Arial" w:eastAsia="Arial" w:hAnsi="Arial" w:cs="Arial"/>
          <w:b/>
          <w:color w:val="000000"/>
          <w:sz w:val="22"/>
          <w:szCs w:val="22"/>
        </w:rPr>
        <w:lastRenderedPageBreak/>
        <w:t>Appendix 3</w:t>
      </w:r>
    </w:p>
    <w:p w:rsidR="00E279C2" w:rsidRDefault="00504627">
      <w:pPr>
        <w:pBdr>
          <w:top w:val="nil"/>
          <w:left w:val="nil"/>
          <w:bottom w:val="nil"/>
          <w:right w:val="nil"/>
          <w:between w:val="nil"/>
        </w:pBdr>
        <w:spacing w:line="480" w:lineRule="auto"/>
        <w:rPr>
          <w:rFonts w:ascii="Arial" w:eastAsia="Arial" w:hAnsi="Arial" w:cs="Arial"/>
          <w:b/>
          <w:color w:val="000000"/>
          <w:sz w:val="22"/>
          <w:szCs w:val="22"/>
        </w:rPr>
      </w:pPr>
      <w:r>
        <w:rPr>
          <w:rFonts w:ascii="Arial" w:eastAsia="Arial" w:hAnsi="Arial" w:cs="Arial"/>
          <w:noProof/>
          <w:color w:val="000000"/>
          <w:sz w:val="22"/>
          <w:szCs w:val="22"/>
        </w:rPr>
        <w:drawing>
          <wp:inline distT="0" distB="0" distL="0" distR="0">
            <wp:extent cx="5814348" cy="5290781"/>
            <wp:effectExtent l="0" t="0" r="2540" b="571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5814348" cy="5290781"/>
                    </a:xfrm>
                    <a:prstGeom prst="rect">
                      <a:avLst/>
                    </a:prstGeom>
                    <a:ln/>
                  </pic:spPr>
                </pic:pic>
              </a:graphicData>
            </a:graphic>
          </wp:inline>
        </w:drawing>
      </w: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 xml:space="preserve">Results of our microplate-based protocols using </w:t>
      </w:r>
      <w:r>
        <w:rPr>
          <w:rFonts w:ascii="Arial" w:eastAsia="Arial" w:hAnsi="Arial" w:cs="Arial"/>
          <w:i/>
          <w:sz w:val="22"/>
          <w:szCs w:val="22"/>
        </w:rPr>
        <w:t xml:space="preserve">S. lycopersicum, </w:t>
      </w:r>
      <w:r>
        <w:rPr>
          <w:rFonts w:ascii="Arial" w:eastAsia="Arial" w:hAnsi="Arial" w:cs="Arial"/>
          <w:sz w:val="22"/>
          <w:szCs w:val="22"/>
        </w:rPr>
        <w:t>ecotype M82</w:t>
      </w:r>
      <w:r>
        <w:rPr>
          <w:rFonts w:ascii="Arial" w:eastAsia="Arial" w:hAnsi="Arial" w:cs="Arial"/>
          <w:color w:val="000000"/>
          <w:sz w:val="22"/>
          <w:szCs w:val="22"/>
        </w:rPr>
        <w:t xml:space="preserve"> for A) H</w:t>
      </w:r>
      <w:r>
        <w:rPr>
          <w:rFonts w:ascii="Arial" w:eastAsia="Arial" w:hAnsi="Arial" w:cs="Arial"/>
          <w:color w:val="000000"/>
          <w:sz w:val="22"/>
          <w:szCs w:val="22"/>
          <w:vertAlign w:val="subscript"/>
        </w:rPr>
        <w:t>2</w:t>
      </w:r>
      <w:r>
        <w:rPr>
          <w:rFonts w:ascii="Arial" w:eastAsia="Arial" w:hAnsi="Arial" w:cs="Arial"/>
          <w:color w:val="000000"/>
          <w:sz w:val="22"/>
          <w:szCs w:val="22"/>
        </w:rPr>
        <w:t>O</w:t>
      </w:r>
      <w:r>
        <w:rPr>
          <w:rFonts w:ascii="Arial" w:eastAsia="Arial" w:hAnsi="Arial" w:cs="Arial"/>
          <w:color w:val="000000"/>
          <w:sz w:val="22"/>
          <w:szCs w:val="22"/>
          <w:vertAlign w:val="subscript"/>
        </w:rPr>
        <w:t>2</w:t>
      </w:r>
      <w:r>
        <w:rPr>
          <w:rFonts w:ascii="Arial" w:eastAsia="Arial" w:hAnsi="Arial" w:cs="Arial"/>
          <w:color w:val="000000"/>
          <w:sz w:val="22"/>
          <w:szCs w:val="22"/>
        </w:rPr>
        <w:t>, B) Protein Quantification, C) POD, D) PPO, and E) PI. T</w:t>
      </w:r>
      <w:r>
        <w:rPr>
          <w:rFonts w:ascii="Arial" w:eastAsia="Arial" w:hAnsi="Arial" w:cs="Arial"/>
          <w:sz w:val="22"/>
          <w:szCs w:val="22"/>
        </w:rPr>
        <w:t>h</w:t>
      </w:r>
      <w:r>
        <w:rPr>
          <w:rFonts w:ascii="Arial" w:eastAsia="Arial" w:hAnsi="Arial" w:cs="Arial"/>
          <w:color w:val="000000"/>
          <w:sz w:val="22"/>
          <w:szCs w:val="22"/>
        </w:rPr>
        <w:t>e numbers 1-5 on the x-axis reflect indivi</w:t>
      </w:r>
      <w:r>
        <w:rPr>
          <w:rFonts w:ascii="Arial" w:eastAsia="Arial" w:hAnsi="Arial" w:cs="Arial"/>
          <w:sz w:val="22"/>
          <w:szCs w:val="22"/>
        </w:rPr>
        <w:t xml:space="preserve">dual plants used for sampling. </w:t>
      </w:r>
      <w:r>
        <w:rPr>
          <w:rFonts w:ascii="Arial" w:eastAsia="Arial" w:hAnsi="Arial" w:cs="Arial"/>
          <w:color w:val="000000"/>
          <w:sz w:val="22"/>
          <w:szCs w:val="22"/>
        </w:rPr>
        <w:t>The significant variation between biological replicates makes a strong argument against pooling tissue samples from different plants and highlights the benefit to using a protocol that requires a much smaller quantity of tissue (see Main Document Table 1</w:t>
      </w:r>
      <w:r>
        <w:rPr>
          <w:rFonts w:ascii="Arial" w:eastAsia="Arial" w:hAnsi="Arial" w:cs="Arial"/>
          <w:sz w:val="22"/>
          <w:szCs w:val="22"/>
        </w:rPr>
        <w:t>)</w:t>
      </w:r>
      <w:r>
        <w:rPr>
          <w:rFonts w:ascii="Arial" w:eastAsia="Arial" w:hAnsi="Arial" w:cs="Arial"/>
          <w:color w:val="000000"/>
          <w:sz w:val="22"/>
          <w:szCs w:val="22"/>
        </w:rPr>
        <w:t xml:space="preserve">. A-D show values pre- and post-herbivory. E is calculated by subtracting post-herbivory values from pre-herbivory </w:t>
      </w:r>
      <w:r>
        <w:rPr>
          <w:rFonts w:ascii="Arial" w:eastAsia="Arial" w:hAnsi="Arial" w:cs="Arial"/>
          <w:color w:val="000000"/>
          <w:sz w:val="22"/>
          <w:szCs w:val="22"/>
        </w:rPr>
        <w:lastRenderedPageBreak/>
        <w:t xml:space="preserve">values. Bars in all panels show the mean </w:t>
      </w:r>
      <w:r>
        <w:rPr>
          <w:rFonts w:ascii="Arial" w:eastAsia="Arial" w:hAnsi="Arial" w:cs="Arial"/>
          <w:sz w:val="22"/>
          <w:szCs w:val="22"/>
        </w:rPr>
        <w:t>with</w:t>
      </w:r>
      <w:r>
        <w:rPr>
          <w:rFonts w:ascii="Arial" w:eastAsia="Arial" w:hAnsi="Arial" w:cs="Arial"/>
          <w:color w:val="000000"/>
          <w:sz w:val="22"/>
          <w:szCs w:val="22"/>
        </w:rPr>
        <w:t xml:space="preserve"> standard error bars for three biological replicates. </w:t>
      </w:r>
    </w:p>
    <w:p w:rsidR="00E279C2" w:rsidRDefault="00504627">
      <w:pPr>
        <w:pBdr>
          <w:top w:val="nil"/>
          <w:left w:val="nil"/>
          <w:bottom w:val="nil"/>
          <w:right w:val="nil"/>
          <w:between w:val="nil"/>
        </w:pBdr>
        <w:spacing w:line="480" w:lineRule="auto"/>
        <w:rPr>
          <w:rFonts w:ascii="Arial" w:eastAsia="Arial" w:hAnsi="Arial" w:cs="Arial"/>
          <w:b/>
          <w:color w:val="000000"/>
          <w:sz w:val="22"/>
          <w:szCs w:val="22"/>
          <w:highlight w:val="yellow"/>
        </w:rPr>
      </w:pPr>
      <w:r>
        <w:rPr>
          <w:rFonts w:ascii="Arial" w:eastAsia="Arial" w:hAnsi="Arial" w:cs="Arial"/>
          <w:b/>
          <w:color w:val="000000"/>
          <w:sz w:val="22"/>
          <w:szCs w:val="22"/>
        </w:rPr>
        <w:t xml:space="preserve">Appendix 4 </w:t>
      </w:r>
    </w:p>
    <w:p w:rsidR="00E279C2" w:rsidRDefault="00504627">
      <w:pPr>
        <w:pBdr>
          <w:top w:val="nil"/>
          <w:left w:val="nil"/>
          <w:bottom w:val="nil"/>
          <w:right w:val="nil"/>
          <w:between w:val="nil"/>
        </w:pBdr>
        <w:spacing w:line="480" w:lineRule="auto"/>
        <w:rPr>
          <w:rFonts w:ascii="Arial" w:eastAsia="Arial" w:hAnsi="Arial" w:cs="Arial"/>
          <w:b/>
          <w:color w:val="000000"/>
          <w:sz w:val="22"/>
          <w:szCs w:val="22"/>
        </w:rPr>
      </w:pPr>
      <w:r>
        <w:rPr>
          <w:rFonts w:ascii="Arial" w:eastAsia="Arial" w:hAnsi="Arial" w:cs="Arial"/>
          <w:noProof/>
          <w:color w:val="000000"/>
          <w:sz w:val="22"/>
          <w:szCs w:val="22"/>
        </w:rPr>
        <w:drawing>
          <wp:inline distT="0" distB="0" distL="0" distR="0">
            <wp:extent cx="5486400" cy="49923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descr="Mac HD:Users:chanj:Desktop:Fig7MethodsFull.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486400" cy="4992363"/>
                    </a:xfrm>
                    <a:prstGeom prst="rect">
                      <a:avLst/>
                    </a:prstGeom>
                    <a:ln/>
                  </pic:spPr>
                </pic:pic>
              </a:graphicData>
            </a:graphic>
          </wp:inline>
        </w:drawing>
      </w:r>
    </w:p>
    <w:p w:rsidR="00E279C2" w:rsidRDefault="00E279C2">
      <w:pPr>
        <w:pBdr>
          <w:top w:val="nil"/>
          <w:left w:val="nil"/>
          <w:bottom w:val="nil"/>
          <w:right w:val="nil"/>
          <w:between w:val="nil"/>
        </w:pBdr>
        <w:spacing w:line="480" w:lineRule="auto"/>
        <w:rPr>
          <w:rFonts w:ascii="Arial" w:eastAsia="Arial" w:hAnsi="Arial" w:cs="Arial"/>
          <w:b/>
          <w:color w:val="000000"/>
          <w:sz w:val="22"/>
          <w:szCs w:val="22"/>
        </w:rPr>
      </w:pPr>
    </w:p>
    <w:p w:rsidR="00E279C2" w:rsidRDefault="00504627">
      <w:pPr>
        <w:pBdr>
          <w:top w:val="nil"/>
          <w:left w:val="nil"/>
          <w:bottom w:val="nil"/>
          <w:right w:val="nil"/>
          <w:between w:val="nil"/>
        </w:pBdr>
        <w:spacing w:line="480" w:lineRule="auto"/>
        <w:rPr>
          <w:rFonts w:ascii="Arial" w:eastAsia="Arial" w:hAnsi="Arial" w:cs="Arial"/>
          <w:color w:val="000000"/>
          <w:sz w:val="22"/>
          <w:szCs w:val="22"/>
        </w:rPr>
      </w:pPr>
      <w:bookmarkStart w:id="1" w:name="_gjdgxs" w:colFirst="0" w:colLast="0"/>
      <w:bookmarkEnd w:id="1"/>
      <w:r>
        <w:rPr>
          <w:rFonts w:ascii="Arial" w:eastAsia="Arial" w:hAnsi="Arial" w:cs="Arial"/>
          <w:b/>
          <w:color w:val="000000"/>
          <w:sz w:val="22"/>
          <w:szCs w:val="22"/>
        </w:rPr>
        <w:t xml:space="preserve">Assays tested on </w:t>
      </w:r>
      <w:r>
        <w:rPr>
          <w:rFonts w:ascii="Arial" w:eastAsia="Arial" w:hAnsi="Arial" w:cs="Arial"/>
          <w:b/>
          <w:i/>
          <w:color w:val="000000"/>
          <w:sz w:val="22"/>
          <w:szCs w:val="22"/>
        </w:rPr>
        <w:t>Medicago polymorpha</w:t>
      </w:r>
      <w:r>
        <w:rPr>
          <w:rFonts w:ascii="Arial" w:eastAsia="Arial" w:hAnsi="Arial" w:cs="Arial"/>
          <w:b/>
          <w:color w:val="000000"/>
          <w:sz w:val="22"/>
          <w:szCs w:val="22"/>
        </w:rPr>
        <w:t xml:space="preserve">. </w:t>
      </w:r>
      <w:r>
        <w:rPr>
          <w:rFonts w:ascii="Arial" w:eastAsia="Arial" w:hAnsi="Arial" w:cs="Arial"/>
          <w:color w:val="000000"/>
          <w:sz w:val="22"/>
          <w:szCs w:val="22"/>
        </w:rPr>
        <w:t xml:space="preserve">As proof of concept, we ran all of the assays on a non-model plant, </w:t>
      </w:r>
      <w:r>
        <w:rPr>
          <w:rFonts w:ascii="Arial" w:eastAsia="Arial" w:hAnsi="Arial" w:cs="Arial"/>
          <w:i/>
          <w:color w:val="000000"/>
          <w:sz w:val="22"/>
          <w:szCs w:val="22"/>
        </w:rPr>
        <w:t>Medicago polymorpha</w:t>
      </w:r>
      <w:r>
        <w:rPr>
          <w:rFonts w:ascii="Arial" w:eastAsia="Arial" w:hAnsi="Arial" w:cs="Arial"/>
          <w:color w:val="000000"/>
          <w:sz w:val="22"/>
          <w:szCs w:val="22"/>
        </w:rPr>
        <w:t>. A) H</w:t>
      </w:r>
      <w:r>
        <w:rPr>
          <w:rFonts w:ascii="Arial" w:eastAsia="Arial" w:hAnsi="Arial" w:cs="Arial"/>
          <w:color w:val="000000"/>
          <w:sz w:val="22"/>
          <w:szCs w:val="22"/>
          <w:vertAlign w:val="subscript"/>
        </w:rPr>
        <w:t>2</w:t>
      </w:r>
      <w:r>
        <w:rPr>
          <w:rFonts w:ascii="Arial" w:eastAsia="Arial" w:hAnsi="Arial" w:cs="Arial"/>
          <w:sz w:val="22"/>
          <w:szCs w:val="22"/>
        </w:rPr>
        <w:t>O</w:t>
      </w:r>
      <w:r>
        <w:rPr>
          <w:rFonts w:ascii="Arial" w:eastAsia="Arial" w:hAnsi="Arial" w:cs="Arial"/>
          <w:color w:val="000000"/>
          <w:sz w:val="22"/>
          <w:szCs w:val="22"/>
          <w:vertAlign w:val="subscript"/>
        </w:rPr>
        <w:t>2</w:t>
      </w:r>
      <w:r>
        <w:rPr>
          <w:rFonts w:ascii="Arial" w:eastAsia="Arial" w:hAnsi="Arial" w:cs="Arial"/>
          <w:color w:val="000000"/>
          <w:sz w:val="22"/>
          <w:szCs w:val="22"/>
        </w:rPr>
        <w:t xml:space="preserve"> B) Protein Quantification C) POD D) PPO E) PI. Unlike tomato, </w:t>
      </w:r>
      <w:r>
        <w:rPr>
          <w:rFonts w:ascii="Arial" w:eastAsia="Arial" w:hAnsi="Arial" w:cs="Arial"/>
          <w:i/>
          <w:color w:val="000000"/>
          <w:sz w:val="22"/>
          <w:szCs w:val="22"/>
        </w:rPr>
        <w:t>M. polymorpha</w:t>
      </w:r>
      <w:r>
        <w:rPr>
          <w:rFonts w:ascii="Arial" w:eastAsia="Arial" w:hAnsi="Arial" w:cs="Arial"/>
          <w:color w:val="000000"/>
          <w:sz w:val="22"/>
          <w:szCs w:val="22"/>
        </w:rPr>
        <w:t xml:space="preserve"> does not always show increase in production of defensive phytochemicals. A-D show values pre- and post-</w:t>
      </w:r>
      <w:r>
        <w:rPr>
          <w:rFonts w:ascii="Arial" w:eastAsia="Arial" w:hAnsi="Arial" w:cs="Arial"/>
          <w:sz w:val="22"/>
          <w:szCs w:val="22"/>
        </w:rPr>
        <w:t>mechanical wounding with regurgitant to simulate herbivory</w:t>
      </w:r>
      <w:r>
        <w:rPr>
          <w:rFonts w:ascii="Arial" w:eastAsia="Arial" w:hAnsi="Arial" w:cs="Arial"/>
          <w:color w:val="000000"/>
          <w:sz w:val="22"/>
          <w:szCs w:val="22"/>
        </w:rPr>
        <w:t>. E is calculated by subtracting post-</w:t>
      </w:r>
      <w:r>
        <w:rPr>
          <w:rFonts w:ascii="Arial" w:eastAsia="Arial" w:hAnsi="Arial" w:cs="Arial"/>
          <w:sz w:val="22"/>
          <w:szCs w:val="22"/>
        </w:rPr>
        <w:lastRenderedPageBreak/>
        <w:t>mechanical wounding</w:t>
      </w:r>
      <w:r>
        <w:rPr>
          <w:rFonts w:ascii="Arial" w:eastAsia="Arial" w:hAnsi="Arial" w:cs="Arial"/>
          <w:color w:val="000000"/>
          <w:sz w:val="22"/>
          <w:szCs w:val="22"/>
        </w:rPr>
        <w:t xml:space="preserve"> values from pre-</w:t>
      </w:r>
      <w:r>
        <w:rPr>
          <w:rFonts w:ascii="Arial" w:eastAsia="Arial" w:hAnsi="Arial" w:cs="Arial"/>
          <w:sz w:val="22"/>
          <w:szCs w:val="22"/>
        </w:rPr>
        <w:t>mechanical wounding</w:t>
      </w:r>
      <w:r>
        <w:rPr>
          <w:rFonts w:ascii="Arial" w:eastAsia="Arial" w:hAnsi="Arial" w:cs="Arial"/>
          <w:color w:val="000000"/>
          <w:sz w:val="22"/>
          <w:szCs w:val="22"/>
        </w:rPr>
        <w:t xml:space="preserve"> values. Bars in all panels show the mean </w:t>
      </w:r>
      <w:r>
        <w:rPr>
          <w:rFonts w:ascii="Arial" w:eastAsia="Arial" w:hAnsi="Arial" w:cs="Arial"/>
          <w:sz w:val="22"/>
          <w:szCs w:val="22"/>
        </w:rPr>
        <w:t>plus</w:t>
      </w:r>
      <w:r w:rsidR="00CF7CB7">
        <w:rPr>
          <w:rFonts w:ascii="Arial" w:eastAsia="Arial" w:hAnsi="Arial" w:cs="Arial"/>
          <w:sz w:val="22"/>
          <w:szCs w:val="22"/>
        </w:rPr>
        <w:t>/minus</w:t>
      </w:r>
      <w:r>
        <w:rPr>
          <w:rFonts w:ascii="Arial" w:eastAsia="Arial" w:hAnsi="Arial" w:cs="Arial"/>
          <w:sz w:val="22"/>
          <w:szCs w:val="22"/>
        </w:rPr>
        <w:t xml:space="preserve"> standard</w:t>
      </w:r>
      <w:r>
        <w:rPr>
          <w:rFonts w:ascii="Arial" w:eastAsia="Arial" w:hAnsi="Arial" w:cs="Arial"/>
          <w:color w:val="000000"/>
          <w:sz w:val="22"/>
          <w:szCs w:val="22"/>
        </w:rPr>
        <w:t xml:space="preserve"> error bars for three biological replicates.</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504627">
      <w:pPr>
        <w:spacing w:line="480" w:lineRule="auto"/>
        <w:rPr>
          <w:rFonts w:ascii="Arial" w:eastAsia="Arial" w:hAnsi="Arial" w:cs="Arial"/>
          <w:sz w:val="22"/>
          <w:szCs w:val="22"/>
        </w:rPr>
      </w:pPr>
      <w:r>
        <w:rPr>
          <w:rFonts w:ascii="Arial" w:eastAsia="Arial" w:hAnsi="Arial" w:cs="Arial"/>
          <w:b/>
          <w:color w:val="000000"/>
          <w:sz w:val="22"/>
          <w:szCs w:val="22"/>
        </w:rPr>
        <w:t xml:space="preserve">Figures and legends </w:t>
      </w:r>
    </w:p>
    <w:p w:rsidR="00E279C2" w:rsidRDefault="00504627">
      <w:pPr>
        <w:spacing w:line="480" w:lineRule="auto"/>
        <w:rPr>
          <w:rFonts w:ascii="Arial" w:eastAsia="Arial" w:hAnsi="Arial" w:cs="Arial"/>
          <w:sz w:val="22"/>
          <w:szCs w:val="22"/>
        </w:rPr>
      </w:pPr>
      <w:r>
        <w:rPr>
          <w:rFonts w:ascii="Arial" w:eastAsia="Arial" w:hAnsi="Arial" w:cs="Arial"/>
          <w:color w:val="000000"/>
          <w:sz w:val="22"/>
          <w:szCs w:val="22"/>
        </w:rPr>
        <w:t>Fig 1. Comparison of absorbance values for A)</w:t>
      </w:r>
      <w:r w:rsidR="006826D8">
        <w:rPr>
          <w:rFonts w:ascii="Arial" w:eastAsia="Arial" w:hAnsi="Arial" w:cs="Arial"/>
          <w:color w:val="000000"/>
          <w:sz w:val="22"/>
          <w:szCs w:val="22"/>
        </w:rPr>
        <w:t xml:space="preserve"> </w:t>
      </w:r>
      <w:r>
        <w:rPr>
          <w:rFonts w:ascii="Arial" w:eastAsia="Arial" w:hAnsi="Arial" w:cs="Arial"/>
          <w:color w:val="000000"/>
          <w:sz w:val="22"/>
          <w:szCs w:val="22"/>
        </w:rPr>
        <w:t>POD and B)</w:t>
      </w:r>
      <w:r w:rsidR="006826D8">
        <w:rPr>
          <w:rFonts w:ascii="Arial" w:eastAsia="Arial" w:hAnsi="Arial" w:cs="Arial"/>
          <w:color w:val="000000"/>
          <w:sz w:val="22"/>
          <w:szCs w:val="22"/>
        </w:rPr>
        <w:t xml:space="preserve"> </w:t>
      </w:r>
      <w:r>
        <w:rPr>
          <w:rFonts w:ascii="Arial" w:eastAsia="Arial" w:hAnsi="Arial" w:cs="Arial"/>
          <w:color w:val="000000"/>
          <w:sz w:val="22"/>
          <w:szCs w:val="22"/>
        </w:rPr>
        <w:t xml:space="preserve">PPO when measured using either a spectrophotometer (cuvette) or microplate reader (mtp) to generate a standard curve </w:t>
      </w:r>
      <w:r>
        <w:rPr>
          <w:rFonts w:ascii="Arial" w:eastAsia="Arial" w:hAnsi="Arial" w:cs="Arial"/>
          <w:sz w:val="22"/>
          <w:szCs w:val="22"/>
        </w:rPr>
        <w:t>using horseradish peroxidase for POD (measured at 470 nm) and mushroom polyphenol oxidase for PPO (measured at 420 nm)</w:t>
      </w:r>
      <w:r>
        <w:rPr>
          <w:rFonts w:ascii="Arial" w:eastAsia="Arial" w:hAnsi="Arial" w:cs="Arial"/>
          <w:color w:val="000000"/>
          <w:sz w:val="22"/>
          <w:szCs w:val="22"/>
        </w:rPr>
        <w:t>. Line equations and r</w:t>
      </w:r>
      <w:r>
        <w:rPr>
          <w:rFonts w:ascii="Arial" w:eastAsia="Arial" w:hAnsi="Arial" w:cs="Arial"/>
          <w:color w:val="000000"/>
          <w:sz w:val="22"/>
          <w:szCs w:val="22"/>
          <w:vertAlign w:val="superscript"/>
        </w:rPr>
        <w:t>2</w:t>
      </w:r>
      <w:r>
        <w:rPr>
          <w:rFonts w:ascii="Arial" w:eastAsia="Arial" w:hAnsi="Arial" w:cs="Arial"/>
          <w:color w:val="000000"/>
          <w:sz w:val="22"/>
          <w:szCs w:val="22"/>
        </w:rPr>
        <w:t xml:space="preserve"> values were generated by fitting data using a linear model. Each </w:t>
      </w:r>
      <w:r>
        <w:rPr>
          <w:rFonts w:ascii="Arial" w:eastAsia="Arial" w:hAnsi="Arial" w:cs="Arial"/>
          <w:sz w:val="22"/>
          <w:szCs w:val="22"/>
        </w:rPr>
        <w:t>data point</w:t>
      </w:r>
      <w:r>
        <w:rPr>
          <w:rFonts w:ascii="Arial" w:eastAsia="Arial" w:hAnsi="Arial" w:cs="Arial"/>
          <w:color w:val="000000"/>
          <w:sz w:val="22"/>
          <w:szCs w:val="22"/>
        </w:rPr>
        <w:t xml:space="preserve"> represents mean plus/minus standard error. All concentrations were done in triplicate. </w:t>
      </w:r>
    </w:p>
    <w:p w:rsidR="00E279C2" w:rsidRDefault="00E279C2">
      <w:pPr>
        <w:rPr>
          <w:rFonts w:ascii="Arial" w:eastAsia="Arial" w:hAnsi="Arial" w:cs="Arial"/>
          <w:sz w:val="22"/>
          <w:szCs w:val="22"/>
        </w:rPr>
      </w:pPr>
    </w:p>
    <w:p w:rsidR="00E279C2" w:rsidRDefault="00504627">
      <w:pPr>
        <w:spacing w:line="480" w:lineRule="auto"/>
        <w:rPr>
          <w:rFonts w:ascii="Arial" w:eastAsia="Arial" w:hAnsi="Arial" w:cs="Arial"/>
          <w:sz w:val="22"/>
          <w:szCs w:val="22"/>
        </w:rPr>
      </w:pPr>
      <w:r>
        <w:rPr>
          <w:rFonts w:ascii="Arial" w:eastAsia="Arial" w:hAnsi="Arial" w:cs="Arial"/>
          <w:color w:val="000000"/>
          <w:sz w:val="22"/>
          <w:szCs w:val="22"/>
        </w:rPr>
        <w:t xml:space="preserve">Fig 2. Serial dilutions of uninduced tomato tissue. We serially diluted a homogenized tissue sample initially at a concentration of 0.38 g FW/mL to determine the lower limit of detection for the A) POD and B) PPO assays. We used uninduced tissue with low expression of defense compounds and </w:t>
      </w:r>
      <w:r>
        <w:rPr>
          <w:rFonts w:ascii="Arial" w:eastAsia="Arial" w:hAnsi="Arial" w:cs="Arial"/>
          <w:sz w:val="22"/>
          <w:szCs w:val="22"/>
        </w:rPr>
        <w:t>measured absorbance at 470 nm for POD and 420 nm for PPO</w:t>
      </w:r>
      <w:r>
        <w:rPr>
          <w:rFonts w:ascii="Arial" w:eastAsia="Arial" w:hAnsi="Arial" w:cs="Arial"/>
          <w:color w:val="000000"/>
          <w:sz w:val="22"/>
          <w:szCs w:val="22"/>
        </w:rPr>
        <w:t xml:space="preserve">. Each dilution was measured in triplicate; </w:t>
      </w:r>
      <w:r>
        <w:rPr>
          <w:rFonts w:ascii="Arial" w:eastAsia="Arial" w:hAnsi="Arial" w:cs="Arial"/>
          <w:sz w:val="22"/>
          <w:szCs w:val="22"/>
        </w:rPr>
        <w:t>data points</w:t>
      </w:r>
      <w:r>
        <w:rPr>
          <w:rFonts w:ascii="Arial" w:eastAsia="Arial" w:hAnsi="Arial" w:cs="Arial"/>
          <w:color w:val="000000"/>
          <w:sz w:val="22"/>
          <w:szCs w:val="22"/>
        </w:rPr>
        <w:t xml:space="preserve"> shown are means plus/minus standard errors.</w:t>
      </w: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E279C2">
      <w:pPr>
        <w:pBdr>
          <w:top w:val="nil"/>
          <w:left w:val="nil"/>
          <w:bottom w:val="nil"/>
          <w:right w:val="nil"/>
          <w:between w:val="nil"/>
        </w:pBdr>
        <w:spacing w:line="480" w:lineRule="auto"/>
        <w:rPr>
          <w:rFonts w:ascii="Arial" w:eastAsia="Arial" w:hAnsi="Arial" w:cs="Arial"/>
          <w:color w:val="000000"/>
          <w:sz w:val="22"/>
          <w:szCs w:val="22"/>
        </w:rPr>
      </w:pPr>
    </w:p>
    <w:p w:rsidR="00E279C2" w:rsidRDefault="00E279C2">
      <w:pPr>
        <w:pBdr>
          <w:top w:val="nil"/>
          <w:left w:val="nil"/>
          <w:bottom w:val="nil"/>
          <w:right w:val="nil"/>
          <w:between w:val="nil"/>
        </w:pBdr>
        <w:spacing w:line="480" w:lineRule="auto"/>
        <w:rPr>
          <w:rFonts w:ascii="Arial" w:eastAsia="Arial" w:hAnsi="Arial" w:cs="Arial"/>
          <w:b/>
          <w:color w:val="000000"/>
          <w:sz w:val="22"/>
          <w:szCs w:val="22"/>
        </w:rPr>
      </w:pPr>
      <w:bookmarkStart w:id="2" w:name="_30j0zll" w:colFirst="0" w:colLast="0"/>
      <w:bookmarkEnd w:id="2"/>
    </w:p>
    <w:sectPr w:rsidR="00E279C2">
      <w:headerReference w:type="even" r:id="rId15"/>
      <w:headerReference w:type="default" r:id="rId1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7D4" w:rsidRDefault="00D967D4">
      <w:r>
        <w:separator/>
      </w:r>
    </w:p>
  </w:endnote>
  <w:endnote w:type="continuationSeparator" w:id="0">
    <w:p w:rsidR="00D967D4" w:rsidRDefault="00D96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dobe Caslon Pro Bold">
    <w:altName w:val="Palatino Linotype"/>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7D4" w:rsidRDefault="00D967D4">
      <w:r>
        <w:separator/>
      </w:r>
    </w:p>
  </w:footnote>
  <w:footnote w:type="continuationSeparator" w:id="0">
    <w:p w:rsidR="00D967D4" w:rsidRDefault="00D96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9C2" w:rsidRDefault="0050462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E279C2" w:rsidRDefault="00504627">
    <w:pPr>
      <w:pBdr>
        <w:top w:val="nil"/>
        <w:left w:val="nil"/>
        <w:bottom w:val="nil"/>
        <w:right w:val="nil"/>
        <w:between w:val="nil"/>
      </w:pBdr>
      <w:tabs>
        <w:tab w:val="center" w:pos="4320"/>
        <w:tab w:val="right" w:pos="8640"/>
      </w:tabs>
      <w:ind w:right="360"/>
      <w:rPr>
        <w:color w:val="000000"/>
      </w:rPr>
    </w:pPr>
    <w:r>
      <w:rPr>
        <w:color w:val="000000"/>
      </w:rPr>
      <w:t>[Type text][Type text][Type text]</w:t>
    </w:r>
  </w:p>
  <w:p w:rsidR="00E279C2" w:rsidRDefault="00E279C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9C2" w:rsidRDefault="00504627">
    <w:pPr>
      <w:pBdr>
        <w:top w:val="nil"/>
        <w:left w:val="nil"/>
        <w:bottom w:val="nil"/>
        <w:right w:val="nil"/>
        <w:between w:val="nil"/>
      </w:pBdr>
      <w:tabs>
        <w:tab w:val="center" w:pos="4320"/>
        <w:tab w:val="right" w:pos="8640"/>
      </w:tabs>
      <w:jc w:val="right"/>
      <w:rPr>
        <w:rFonts w:ascii="Arial" w:eastAsia="Arial" w:hAnsi="Arial" w:cs="Arial"/>
        <w:color w:val="000000"/>
        <w:sz w:val="22"/>
        <w:szCs w:val="22"/>
      </w:rPr>
    </w:pPr>
    <w:r>
      <w:rPr>
        <w:rFonts w:ascii="Arial" w:eastAsia="Arial" w:hAnsi="Arial" w:cs="Arial"/>
        <w:color w:val="000000"/>
        <w:sz w:val="22"/>
        <w:szCs w:val="22"/>
      </w:rPr>
      <w:t xml:space="preserve">Jack et al    p. </w:t>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A90984">
      <w:rPr>
        <w:rFonts w:ascii="Arial" w:eastAsia="Arial" w:hAnsi="Arial" w:cs="Arial"/>
        <w:noProof/>
        <w:color w:val="000000"/>
        <w:sz w:val="22"/>
        <w:szCs w:val="22"/>
      </w:rPr>
      <w:t>1</w:t>
    </w:r>
    <w:r>
      <w:rPr>
        <w:rFonts w:ascii="Arial" w:eastAsia="Arial" w:hAnsi="Arial" w:cs="Arial"/>
        <w:color w:val="000000"/>
        <w:sz w:val="22"/>
        <w:szCs w:val="22"/>
      </w:rPr>
      <w:fldChar w:fldCharType="end"/>
    </w:r>
  </w:p>
  <w:p w:rsidR="00E279C2" w:rsidRDefault="00504627">
    <w:pPr>
      <w:pBdr>
        <w:top w:val="nil"/>
        <w:left w:val="nil"/>
        <w:bottom w:val="nil"/>
        <w:right w:val="nil"/>
        <w:between w:val="nil"/>
      </w:pBdr>
      <w:tabs>
        <w:tab w:val="center" w:pos="4320"/>
        <w:tab w:val="right" w:pos="8640"/>
      </w:tabs>
      <w:ind w:right="360"/>
      <w:rPr>
        <w:rFonts w:ascii="Arial" w:eastAsia="Arial" w:hAnsi="Arial" w:cs="Arial"/>
        <w:color w:val="000000"/>
        <w:sz w:val="22"/>
        <w:szCs w:val="22"/>
      </w:rPr>
    </w:pPr>
    <w:r>
      <w:rPr>
        <w:rFonts w:ascii="Arial" w:eastAsia="Arial" w:hAnsi="Arial" w:cs="Arial"/>
        <w:color w:val="000000"/>
        <w:sz w:val="22"/>
        <w:szCs w:val="22"/>
      </w:rPr>
      <w:tab/>
      <w:t xml:space="preserve"> </w:t>
    </w:r>
  </w:p>
  <w:p w:rsidR="00E279C2" w:rsidRDefault="00E279C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2548"/>
    <w:multiLevelType w:val="multilevel"/>
    <w:tmpl w:val="D6BCA7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71C6A1B"/>
    <w:multiLevelType w:val="multilevel"/>
    <w:tmpl w:val="C62293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4C2D38"/>
    <w:multiLevelType w:val="multilevel"/>
    <w:tmpl w:val="E95279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6C416EB"/>
    <w:multiLevelType w:val="multilevel"/>
    <w:tmpl w:val="D5D4D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553EBE"/>
    <w:multiLevelType w:val="multilevel"/>
    <w:tmpl w:val="888E1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1F2446"/>
    <w:multiLevelType w:val="multilevel"/>
    <w:tmpl w:val="A0E88E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B944BAF"/>
    <w:multiLevelType w:val="multilevel"/>
    <w:tmpl w:val="8C54E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C37932"/>
    <w:multiLevelType w:val="multilevel"/>
    <w:tmpl w:val="8C540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33456F8"/>
    <w:multiLevelType w:val="multilevel"/>
    <w:tmpl w:val="7C987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3DE6C35"/>
    <w:multiLevelType w:val="multilevel"/>
    <w:tmpl w:val="D9DC48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9"/>
  </w:num>
  <w:num w:numId="4">
    <w:abstractNumId w:val="4"/>
  </w:num>
  <w:num w:numId="5">
    <w:abstractNumId w:val="6"/>
  </w:num>
  <w:num w:numId="6">
    <w:abstractNumId w:val="1"/>
  </w:num>
  <w:num w:numId="7">
    <w:abstractNumId w:val="3"/>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279C2"/>
    <w:rsid w:val="00021ACF"/>
    <w:rsid w:val="0026247E"/>
    <w:rsid w:val="002F4E6E"/>
    <w:rsid w:val="00345545"/>
    <w:rsid w:val="003E1EDE"/>
    <w:rsid w:val="00447397"/>
    <w:rsid w:val="00493D13"/>
    <w:rsid w:val="004F5296"/>
    <w:rsid w:val="00504627"/>
    <w:rsid w:val="00577DCC"/>
    <w:rsid w:val="00610AC2"/>
    <w:rsid w:val="006826D8"/>
    <w:rsid w:val="00684DAC"/>
    <w:rsid w:val="00691CFE"/>
    <w:rsid w:val="00977146"/>
    <w:rsid w:val="009A3A56"/>
    <w:rsid w:val="009D1ED6"/>
    <w:rsid w:val="00A90984"/>
    <w:rsid w:val="00B0322E"/>
    <w:rsid w:val="00BF7E21"/>
    <w:rsid w:val="00C81ADB"/>
    <w:rsid w:val="00CC52E5"/>
    <w:rsid w:val="00CF7CB7"/>
    <w:rsid w:val="00D81EFA"/>
    <w:rsid w:val="00D967D4"/>
    <w:rsid w:val="00DB0DA9"/>
    <w:rsid w:val="00DC2E7D"/>
    <w:rsid w:val="00DE1E02"/>
    <w:rsid w:val="00E279C2"/>
    <w:rsid w:val="00FC4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EF86172-315B-374A-A544-74B59806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andra.jack@gmail.com" TargetMode="Externa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handra.jack@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friesen@wsu.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tephanie.porter@wsu.edu" TargetMode="External"/><Relationship Id="rId4" Type="http://schemas.openxmlformats.org/officeDocument/2006/relationships/settings" Target="settings.xml"/><Relationship Id="rId9" Type="http://schemas.openxmlformats.org/officeDocument/2006/relationships/hyperlink" Target="mailto:roweshaw@gmail.com"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CDE0F-C6BD-D54D-9227-D4709E87A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6344</Words>
  <Characters>36161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Chandra N</cp:lastModifiedBy>
  <cp:revision>2</cp:revision>
  <cp:lastPrinted>2018-08-14T01:56:00Z</cp:lastPrinted>
  <dcterms:created xsi:type="dcterms:W3CDTF">2018-09-18T05:40:00Z</dcterms:created>
  <dcterms:modified xsi:type="dcterms:W3CDTF">2018-09-18T05:40:00Z</dcterms:modified>
</cp:coreProperties>
</file>